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69EA8" w14:textId="77777777" w:rsidR="00CF74CD" w:rsidRDefault="00CC55B7" w:rsidP="00CF74CD">
      <w:pPr>
        <w:spacing w:line="276" w:lineRule="auto"/>
        <w:rPr>
          <w:b/>
          <w:bCs/>
          <w:lang w:val="en-US"/>
        </w:rPr>
      </w:pPr>
      <w:bookmarkStart w:id="0" w:name="_GoBack"/>
      <w:bookmarkEnd w:id="0"/>
      <w:r>
        <w:rPr>
          <w:b/>
          <w:bCs/>
          <w:noProof/>
          <w:sz w:val="28"/>
          <w:szCs w:val="28"/>
          <w:lang w:val="en-US" w:eastAsia="de-CH"/>
        </w:rPr>
        <w:t>2016 - Study Question (General)</w:t>
      </w:r>
    </w:p>
    <w:p w14:paraId="0F1169E0" w14:textId="77777777" w:rsidR="00CF74CD" w:rsidRDefault="00CF74CD" w:rsidP="00CF74CD">
      <w:pPr>
        <w:spacing w:line="276" w:lineRule="auto"/>
        <w:rPr>
          <w:b/>
          <w:bCs/>
          <w:lang w:val="en-US"/>
        </w:rPr>
      </w:pPr>
    </w:p>
    <w:p w14:paraId="2A177DDC" w14:textId="77777777" w:rsidR="00CF74CD" w:rsidRDefault="00CF74CD" w:rsidP="00CF74CD">
      <w:pPr>
        <w:spacing w:line="276" w:lineRule="auto"/>
        <w:rPr>
          <w:b/>
          <w:bCs/>
          <w:lang w:val="en-US"/>
        </w:rPr>
      </w:pPr>
    </w:p>
    <w:p w14:paraId="62441F56" w14:textId="77777777" w:rsidR="00CF74CD" w:rsidRDefault="00CF74CD" w:rsidP="00CF74CD">
      <w:pPr>
        <w:tabs>
          <w:tab w:val="left" w:pos="2835"/>
        </w:tabs>
        <w:spacing w:line="276" w:lineRule="auto"/>
        <w:rPr>
          <w:lang w:val="en-US"/>
        </w:rPr>
      </w:pPr>
      <w:r>
        <w:rPr>
          <w:b/>
          <w:bCs/>
          <w:lang w:val="en-US"/>
        </w:rPr>
        <w:t>National Group:</w:t>
      </w:r>
      <w:r>
        <w:rPr>
          <w:b/>
          <w:bCs/>
          <w:lang w:val="en-US"/>
        </w:rPr>
        <w:tab/>
        <w:t xml:space="preserve">Denmark </w:t>
      </w:r>
    </w:p>
    <w:p w14:paraId="6A730BD8" w14:textId="77777777" w:rsidR="00CF74CD" w:rsidRDefault="00CF74CD" w:rsidP="00CF74CD">
      <w:pPr>
        <w:spacing w:line="276" w:lineRule="auto"/>
        <w:rPr>
          <w:b/>
          <w:bCs/>
          <w:lang w:val="en-US"/>
        </w:rPr>
      </w:pPr>
    </w:p>
    <w:p w14:paraId="5A9A42FF" w14:textId="77777777" w:rsidR="00CF74CD" w:rsidRDefault="00CF74CD" w:rsidP="00CF74CD">
      <w:pPr>
        <w:spacing w:line="276" w:lineRule="auto"/>
        <w:rPr>
          <w:b/>
          <w:bCs/>
          <w:lang w:val="en-US"/>
        </w:rPr>
      </w:pPr>
    </w:p>
    <w:p w14:paraId="6B090F32" w14:textId="77777777" w:rsidR="00CF74CD" w:rsidRDefault="00CF74CD" w:rsidP="00CF74CD">
      <w:pPr>
        <w:spacing w:line="276" w:lineRule="auto"/>
        <w:ind w:left="2832" w:hanging="2832"/>
        <w:rPr>
          <w:b/>
          <w:bCs/>
          <w:lang w:val="en-US"/>
        </w:rPr>
      </w:pPr>
      <w:r>
        <w:rPr>
          <w:b/>
          <w:bCs/>
          <w:lang w:val="en-US"/>
        </w:rPr>
        <w:t xml:space="preserve">Title: </w:t>
      </w:r>
      <w:r>
        <w:rPr>
          <w:b/>
          <w:bCs/>
          <w:lang w:val="en-US"/>
        </w:rPr>
        <w:tab/>
      </w:r>
      <w:r w:rsidR="00CC55B7">
        <w:rPr>
          <w:b/>
          <w:bCs/>
          <w:lang w:val="en-US"/>
        </w:rPr>
        <w:t xml:space="preserve">Security interests over intellectual property </w:t>
      </w:r>
    </w:p>
    <w:p w14:paraId="5598D3D8" w14:textId="77777777" w:rsidR="00CF74CD" w:rsidRDefault="00CF74CD" w:rsidP="00CF74CD">
      <w:pPr>
        <w:spacing w:line="276" w:lineRule="auto"/>
        <w:rPr>
          <w:b/>
          <w:bCs/>
          <w:lang w:val="en-US"/>
        </w:rPr>
      </w:pPr>
    </w:p>
    <w:p w14:paraId="6303E7D9" w14:textId="77777777" w:rsidR="00CF74CD" w:rsidRDefault="00CF74CD" w:rsidP="00CF74CD">
      <w:pPr>
        <w:spacing w:line="276" w:lineRule="auto"/>
        <w:rPr>
          <w:b/>
          <w:bCs/>
          <w:lang w:val="en-US"/>
        </w:rPr>
      </w:pPr>
    </w:p>
    <w:p w14:paraId="27E25CA1" w14:textId="77777777" w:rsidR="00CF74CD" w:rsidRPr="00CC55B7" w:rsidRDefault="00CF74CD" w:rsidP="00CF74CD">
      <w:pPr>
        <w:spacing w:line="276" w:lineRule="auto"/>
        <w:ind w:left="2832" w:hanging="2832"/>
        <w:rPr>
          <w:lang w:val="da-DK"/>
        </w:rPr>
      </w:pPr>
      <w:proofErr w:type="spellStart"/>
      <w:r w:rsidRPr="00CC55B7">
        <w:rPr>
          <w:b/>
          <w:bCs/>
          <w:lang w:val="da-DK"/>
        </w:rPr>
        <w:t>Contributors</w:t>
      </w:r>
      <w:proofErr w:type="spellEnd"/>
      <w:r w:rsidRPr="00CC55B7">
        <w:rPr>
          <w:b/>
          <w:bCs/>
          <w:lang w:val="da-DK"/>
        </w:rPr>
        <w:t>:</w:t>
      </w:r>
      <w:r w:rsidRPr="00CC55B7">
        <w:rPr>
          <w:b/>
          <w:bCs/>
          <w:lang w:val="da-DK"/>
        </w:rPr>
        <w:tab/>
      </w:r>
      <w:r w:rsidR="00A41053" w:rsidRPr="00CC55B7">
        <w:rPr>
          <w:b/>
          <w:bCs/>
          <w:lang w:val="da-DK"/>
        </w:rPr>
        <w:t xml:space="preserve">Jesper Lykkesfeldt, Jakob Krag Nielsen, </w:t>
      </w:r>
      <w:r w:rsidR="00CC55B7">
        <w:rPr>
          <w:b/>
          <w:bCs/>
          <w:lang w:val="da-DK"/>
        </w:rPr>
        <w:t>Jonas Lykke Hartvig Nielsen, Rasmus Vang</w:t>
      </w:r>
      <w:r w:rsidR="00A41053" w:rsidRPr="00CC55B7">
        <w:rPr>
          <w:b/>
          <w:bCs/>
          <w:lang w:val="da-DK"/>
        </w:rPr>
        <w:t xml:space="preserve">, Mette Hygum Clausen, </w:t>
      </w:r>
      <w:r w:rsidR="00CC55B7">
        <w:rPr>
          <w:b/>
          <w:bCs/>
          <w:lang w:val="da-DK"/>
        </w:rPr>
        <w:t>Julie Brøndt Glarkrog,</w:t>
      </w:r>
      <w:r w:rsidR="00A41053" w:rsidRPr="00CC55B7">
        <w:rPr>
          <w:b/>
          <w:bCs/>
          <w:lang w:val="da-DK"/>
        </w:rPr>
        <w:t xml:space="preserve"> Mikkel Vittrup.</w:t>
      </w:r>
    </w:p>
    <w:p w14:paraId="32085C70" w14:textId="77777777" w:rsidR="00CF74CD" w:rsidRPr="00CC55B7" w:rsidRDefault="00CF74CD" w:rsidP="00CF74CD">
      <w:pPr>
        <w:spacing w:line="276" w:lineRule="auto"/>
        <w:rPr>
          <w:lang w:val="da-DK"/>
        </w:rPr>
      </w:pPr>
      <w:r w:rsidRPr="00CC55B7">
        <w:rPr>
          <w:lang w:val="da-DK"/>
        </w:rPr>
        <w:tab/>
      </w:r>
      <w:r w:rsidRPr="00CC55B7">
        <w:rPr>
          <w:lang w:val="da-DK"/>
        </w:rPr>
        <w:tab/>
      </w:r>
      <w:r w:rsidRPr="00CC55B7">
        <w:rPr>
          <w:lang w:val="da-DK"/>
        </w:rPr>
        <w:tab/>
      </w:r>
      <w:r w:rsidRPr="00CC55B7">
        <w:rPr>
          <w:lang w:val="da-DK"/>
        </w:rPr>
        <w:tab/>
      </w:r>
    </w:p>
    <w:p w14:paraId="05CF0743" w14:textId="77777777" w:rsidR="00CF74CD" w:rsidRPr="00CC55B7" w:rsidRDefault="00CF74CD" w:rsidP="00CF74CD">
      <w:pPr>
        <w:spacing w:line="276" w:lineRule="auto"/>
        <w:rPr>
          <w:b/>
          <w:bCs/>
          <w:lang w:val="da-DK"/>
        </w:rPr>
      </w:pPr>
    </w:p>
    <w:p w14:paraId="72564F42" w14:textId="77777777" w:rsidR="00CF74CD" w:rsidRDefault="00CF74CD" w:rsidP="00CF74CD">
      <w:pPr>
        <w:spacing w:line="276" w:lineRule="auto"/>
        <w:rPr>
          <w:b/>
          <w:bCs/>
          <w:lang w:val="en-US"/>
        </w:rPr>
      </w:pPr>
      <w:r>
        <w:rPr>
          <w:b/>
          <w:bCs/>
          <w:lang w:val="en-US"/>
        </w:rPr>
        <w:t>Reporter within</w:t>
      </w:r>
    </w:p>
    <w:p w14:paraId="742B8079" w14:textId="77777777" w:rsidR="00CF74CD" w:rsidRDefault="00CF74CD" w:rsidP="00CF74CD">
      <w:pPr>
        <w:tabs>
          <w:tab w:val="left" w:pos="2835"/>
        </w:tabs>
        <w:spacing w:line="276" w:lineRule="auto"/>
        <w:rPr>
          <w:bCs/>
          <w:lang w:val="en-US"/>
        </w:rPr>
      </w:pPr>
      <w:r>
        <w:rPr>
          <w:b/>
          <w:bCs/>
          <w:lang w:val="en-US"/>
        </w:rPr>
        <w:t>Working Committee:</w:t>
      </w:r>
      <w:r>
        <w:rPr>
          <w:b/>
          <w:bCs/>
          <w:lang w:val="en-US"/>
        </w:rPr>
        <w:tab/>
        <w:t>Mikkel Vittrup</w:t>
      </w:r>
    </w:p>
    <w:p w14:paraId="43EC9892" w14:textId="77777777" w:rsidR="00CF74CD" w:rsidRDefault="00CF74CD" w:rsidP="00CF74CD">
      <w:pPr>
        <w:spacing w:line="276" w:lineRule="auto"/>
        <w:rPr>
          <w:b/>
          <w:bCs/>
          <w:lang w:val="en-US"/>
        </w:rPr>
      </w:pPr>
    </w:p>
    <w:p w14:paraId="66A5E131" w14:textId="77777777" w:rsidR="00CF74CD" w:rsidRDefault="00CF74CD" w:rsidP="00CF74CD">
      <w:pPr>
        <w:spacing w:line="276" w:lineRule="auto"/>
        <w:rPr>
          <w:b/>
          <w:bCs/>
          <w:lang w:val="en-US"/>
        </w:rPr>
      </w:pPr>
    </w:p>
    <w:p w14:paraId="04BD11EF" w14:textId="1F5B5B07" w:rsidR="00CF74CD" w:rsidRPr="00CF74CD" w:rsidRDefault="00DA0B3C" w:rsidP="00766676">
      <w:pPr>
        <w:ind w:left="2835" w:hanging="2835"/>
        <w:rPr>
          <w:color w:val="0070C0"/>
          <w:szCs w:val="18"/>
        </w:rPr>
      </w:pPr>
      <w:r>
        <w:rPr>
          <w:b/>
          <w:bCs/>
        </w:rPr>
        <w:t>Date:</w:t>
      </w:r>
      <w:r>
        <w:rPr>
          <w:b/>
          <w:bCs/>
        </w:rPr>
        <w:tab/>
        <w:t>13</w:t>
      </w:r>
      <w:r w:rsidR="00CC55B7">
        <w:rPr>
          <w:b/>
          <w:bCs/>
        </w:rPr>
        <w:t xml:space="preserve"> April 2016</w:t>
      </w:r>
      <w:r w:rsidR="00CF74CD">
        <w:rPr>
          <w:b/>
          <w:bCs/>
        </w:rPr>
        <w:tab/>
      </w:r>
    </w:p>
    <w:p w14:paraId="6465BE56" w14:textId="77777777" w:rsidR="00CC55B7" w:rsidRDefault="00CC55B7" w:rsidP="00CC55B7">
      <w:pPr>
        <w:rPr>
          <w:b/>
          <w:szCs w:val="18"/>
        </w:rPr>
      </w:pPr>
      <w:r>
        <w:rPr>
          <w:b/>
          <w:szCs w:val="18"/>
        </w:rPr>
        <w:tab/>
      </w:r>
    </w:p>
    <w:p w14:paraId="2E43D225" w14:textId="77777777" w:rsidR="00766676" w:rsidRDefault="00766676" w:rsidP="00E40A75">
      <w:pPr>
        <w:rPr>
          <w:b/>
          <w:color w:val="0070C0"/>
          <w:szCs w:val="18"/>
        </w:rPr>
      </w:pPr>
    </w:p>
    <w:p w14:paraId="7AE1944E" w14:textId="77777777" w:rsidR="00CC55B7" w:rsidRDefault="00CC55B7" w:rsidP="00CF74CD">
      <w:pPr>
        <w:spacing w:line="276" w:lineRule="auto"/>
        <w:rPr>
          <w:rFonts w:eastAsia="MS ??"/>
          <w:b/>
          <w:sz w:val="28"/>
          <w:szCs w:val="28"/>
        </w:rPr>
      </w:pPr>
    </w:p>
    <w:p w14:paraId="3B035D63" w14:textId="77777777" w:rsidR="00CF74CD" w:rsidRDefault="00CF74CD" w:rsidP="00CF74CD">
      <w:pPr>
        <w:spacing w:line="276" w:lineRule="auto"/>
        <w:rPr>
          <w:rFonts w:eastAsia="MS ??"/>
          <w:b/>
          <w:sz w:val="28"/>
          <w:szCs w:val="28"/>
        </w:rPr>
      </w:pPr>
      <w:r>
        <w:rPr>
          <w:rFonts w:eastAsia="MS ??"/>
          <w:b/>
          <w:sz w:val="28"/>
          <w:szCs w:val="28"/>
        </w:rPr>
        <w:t>Questions</w:t>
      </w:r>
    </w:p>
    <w:p w14:paraId="0B226BEB" w14:textId="77777777" w:rsidR="00CF74CD" w:rsidRDefault="00CF74CD" w:rsidP="00E40A75">
      <w:pPr>
        <w:rPr>
          <w:b/>
          <w:color w:val="0070C0"/>
          <w:szCs w:val="18"/>
        </w:rPr>
      </w:pPr>
    </w:p>
    <w:p w14:paraId="4292DEC1" w14:textId="77777777" w:rsidR="00CC55B7" w:rsidRPr="00C60A05" w:rsidRDefault="00CC55B7" w:rsidP="00CC55B7">
      <w:pPr>
        <w:outlineLvl w:val="0"/>
        <w:rPr>
          <w:rFonts w:eastAsia="Times New Roman" w:cs="Times New Roman"/>
          <w:b/>
          <w:color w:val="000000"/>
          <w:sz w:val="20"/>
          <w:szCs w:val="20"/>
          <w:lang w:val="en-US" w:eastAsia="da-DK"/>
        </w:rPr>
      </w:pPr>
      <w:r w:rsidRPr="00C60A05">
        <w:rPr>
          <w:rFonts w:eastAsia="Times New Roman" w:cs="Times New Roman"/>
          <w:b/>
          <w:color w:val="000000"/>
          <w:sz w:val="20"/>
          <w:szCs w:val="20"/>
          <w:lang w:val="en-US" w:eastAsia="da-DK"/>
        </w:rPr>
        <w:t>I. Current law and practice</w:t>
      </w:r>
    </w:p>
    <w:p w14:paraId="1778576D" w14:textId="77777777" w:rsidR="00CC55B7" w:rsidRDefault="00CC55B7" w:rsidP="00CC55B7">
      <w:pPr>
        <w:outlineLvl w:val="0"/>
        <w:rPr>
          <w:rFonts w:eastAsia="Times New Roman" w:cs="Times New Roman"/>
          <w:b/>
          <w:color w:val="000000"/>
          <w:szCs w:val="18"/>
          <w:u w:val="single"/>
          <w:lang w:val="en-US" w:eastAsia="da-DK"/>
        </w:rPr>
      </w:pPr>
    </w:p>
    <w:p w14:paraId="7EBEA4BF" w14:textId="77777777" w:rsidR="00CC55B7" w:rsidRPr="00231426" w:rsidRDefault="00CC55B7" w:rsidP="00CC55B7">
      <w:pPr>
        <w:outlineLvl w:val="0"/>
        <w:rPr>
          <w:rFonts w:eastAsia="Times New Roman" w:cs="Times New Roman"/>
          <w:b/>
          <w:color w:val="000000"/>
          <w:szCs w:val="18"/>
          <w:u w:val="single"/>
          <w:lang w:val="en-US" w:eastAsia="da-DK"/>
        </w:rPr>
      </w:pPr>
      <w:r w:rsidRPr="00231426">
        <w:rPr>
          <w:rFonts w:eastAsia="Times New Roman" w:cs="Times New Roman"/>
          <w:b/>
          <w:color w:val="000000"/>
          <w:szCs w:val="18"/>
          <w:u w:val="single"/>
          <w:lang w:val="en-US" w:eastAsia="da-DK"/>
        </w:rPr>
        <w:t>Availability of security rights</w:t>
      </w:r>
    </w:p>
    <w:p w14:paraId="72C31D68" w14:textId="77777777" w:rsidR="00CC55B7" w:rsidRPr="00983320" w:rsidRDefault="00CC55B7" w:rsidP="00CC55B7">
      <w:pPr>
        <w:outlineLvl w:val="0"/>
        <w:rPr>
          <w:rFonts w:eastAsia="Times New Roman" w:cs="Times New Roman"/>
          <w:b/>
          <w:color w:val="000000"/>
          <w:szCs w:val="18"/>
          <w:u w:val="single"/>
          <w:lang w:val="en-US" w:eastAsia="da-DK"/>
        </w:rPr>
      </w:pPr>
    </w:p>
    <w:p w14:paraId="424C1FE2" w14:textId="77777777" w:rsidR="00CC55B7" w:rsidRPr="00BC41DD" w:rsidRDefault="00CC55B7" w:rsidP="00CC55B7">
      <w:pPr>
        <w:pStyle w:val="ListParagraph"/>
        <w:numPr>
          <w:ilvl w:val="0"/>
          <w:numId w:val="49"/>
        </w:numPr>
        <w:rPr>
          <w:rFonts w:eastAsia="Times New Roman" w:cs="Times New Roman"/>
          <w:b/>
          <w:color w:val="000000"/>
          <w:szCs w:val="18"/>
          <w:lang w:val="en-US" w:eastAsia="da-DK"/>
        </w:rPr>
      </w:pPr>
      <w:r w:rsidRPr="00BC41DD">
        <w:rPr>
          <w:rFonts w:eastAsia="Times New Roman" w:cs="Times New Roman"/>
          <w:b/>
          <w:color w:val="000000"/>
          <w:szCs w:val="18"/>
          <w:lang w:val="en-US" w:eastAsia="da-DK"/>
        </w:rPr>
        <w:t>Does your group's current law provide for the possibility of creating security interests over IPRs?</w:t>
      </w:r>
    </w:p>
    <w:p w14:paraId="7D6FF9BD" w14:textId="77777777" w:rsidR="00CC55B7" w:rsidRPr="00AE484F" w:rsidRDefault="00CC55B7" w:rsidP="00CC55B7">
      <w:pPr>
        <w:pStyle w:val="ListParagraph"/>
        <w:ind w:left="360"/>
        <w:rPr>
          <w:rFonts w:eastAsia="Times New Roman" w:cs="Times New Roman"/>
          <w:color w:val="000000"/>
          <w:szCs w:val="18"/>
          <w:lang w:val="en-US" w:eastAsia="da-DK"/>
        </w:rPr>
      </w:pPr>
    </w:p>
    <w:p w14:paraId="4BCCC34B" w14:textId="77777777" w:rsidR="00CC55B7" w:rsidRPr="00BC41DD" w:rsidRDefault="00CC55B7" w:rsidP="00CC55B7">
      <w:pPr>
        <w:ind w:firstLine="360"/>
        <w:rPr>
          <w:rFonts w:eastAsia="Times New Roman" w:cs="Times New Roman"/>
          <w:szCs w:val="18"/>
          <w:lang w:val="en-US" w:eastAsia="da-DK"/>
        </w:rPr>
      </w:pPr>
      <w:r w:rsidRPr="00BC41DD">
        <w:rPr>
          <w:rFonts w:eastAsia="Times New Roman" w:cs="Times New Roman"/>
          <w:szCs w:val="18"/>
          <w:lang w:val="en-US" w:eastAsia="da-DK"/>
        </w:rPr>
        <w:t>Yes, Danish law provide</w:t>
      </w:r>
      <w:r>
        <w:rPr>
          <w:rFonts w:eastAsia="Times New Roman" w:cs="Times New Roman"/>
          <w:szCs w:val="18"/>
          <w:lang w:val="en-US" w:eastAsia="da-DK"/>
        </w:rPr>
        <w:t>s</w:t>
      </w:r>
      <w:r w:rsidRPr="00BC41DD">
        <w:rPr>
          <w:rFonts w:eastAsia="Times New Roman" w:cs="Times New Roman"/>
          <w:szCs w:val="18"/>
          <w:lang w:val="en-US" w:eastAsia="da-DK"/>
        </w:rPr>
        <w:t xml:space="preserve"> for the possibility of creating security interests over IPRs.</w:t>
      </w:r>
    </w:p>
    <w:p w14:paraId="096CE300" w14:textId="77777777" w:rsidR="00CC55B7" w:rsidRPr="00377F06" w:rsidRDefault="00CC55B7" w:rsidP="00CC55B7">
      <w:pPr>
        <w:rPr>
          <w:rFonts w:eastAsia="Times New Roman" w:cs="Times New Roman"/>
          <w:color w:val="000000"/>
          <w:szCs w:val="18"/>
          <w:lang w:val="en-US" w:eastAsia="da-DK"/>
        </w:rPr>
      </w:pPr>
    </w:p>
    <w:p w14:paraId="314D26CE" w14:textId="77777777" w:rsidR="00CC55B7" w:rsidRPr="00BC41DD" w:rsidRDefault="00CC55B7" w:rsidP="00CC55B7">
      <w:pPr>
        <w:pStyle w:val="ListParagraph"/>
        <w:numPr>
          <w:ilvl w:val="0"/>
          <w:numId w:val="49"/>
        </w:numPr>
        <w:rPr>
          <w:rFonts w:eastAsia="Times New Roman" w:cs="Times New Roman"/>
          <w:b/>
          <w:color w:val="000000"/>
          <w:szCs w:val="18"/>
          <w:lang w:val="en-US" w:eastAsia="da-DK"/>
        </w:rPr>
      </w:pPr>
      <w:r w:rsidRPr="00BC41DD">
        <w:rPr>
          <w:rFonts w:eastAsia="Times New Roman" w:cs="Times New Roman"/>
          <w:b/>
          <w:color w:val="000000"/>
          <w:szCs w:val="18"/>
          <w:lang w:val="en-US" w:eastAsia="da-DK"/>
        </w:rPr>
        <w:t>Are the available types of security interests defined by specific provisions relating to security interests over IPRs or by general commercial law principles (e.g. specific provisions in your Group's patent legislation rather than general commercial provisions that are applicable to tangible personal property as well as to patents)?</w:t>
      </w:r>
    </w:p>
    <w:p w14:paraId="77D68253" w14:textId="77777777" w:rsidR="00CC55B7" w:rsidRPr="006360A1" w:rsidRDefault="00CC55B7" w:rsidP="00CC55B7">
      <w:pPr>
        <w:rPr>
          <w:rFonts w:eastAsia="Times New Roman" w:cs="Times New Roman"/>
          <w:color w:val="000000"/>
          <w:szCs w:val="18"/>
          <w:lang w:val="en-US" w:eastAsia="da-DK"/>
        </w:rPr>
      </w:pPr>
    </w:p>
    <w:p w14:paraId="7B52B404" w14:textId="77777777" w:rsidR="00CC55B7" w:rsidRPr="00BC41DD" w:rsidRDefault="00CC55B7" w:rsidP="00CC55B7">
      <w:pPr>
        <w:ind w:left="360"/>
        <w:rPr>
          <w:rFonts w:eastAsia="Times New Roman" w:cs="Times New Roman"/>
          <w:szCs w:val="18"/>
          <w:lang w:val="en-US" w:eastAsia="da-DK"/>
        </w:rPr>
      </w:pPr>
      <w:r w:rsidRPr="00BC41DD">
        <w:rPr>
          <w:rFonts w:eastAsia="Times New Roman" w:cs="Times New Roman"/>
          <w:szCs w:val="18"/>
          <w:lang w:val="en-US" w:eastAsia="da-DK"/>
        </w:rPr>
        <w:t xml:space="preserve">The available types of security interests are defined by general commercial provisions that are applicable to tangible personal property as well as to IPRs. </w:t>
      </w:r>
    </w:p>
    <w:p w14:paraId="2ED1060C" w14:textId="77777777" w:rsidR="00CC55B7" w:rsidRPr="00AE484F" w:rsidRDefault="00CC55B7" w:rsidP="00CC55B7">
      <w:pPr>
        <w:pStyle w:val="ListParagraph"/>
        <w:ind w:left="927"/>
        <w:rPr>
          <w:rFonts w:eastAsia="Times New Roman" w:cs="Times New Roman"/>
          <w:color w:val="FF0000"/>
          <w:szCs w:val="18"/>
          <w:lang w:val="en-US" w:eastAsia="da-DK"/>
        </w:rPr>
      </w:pPr>
    </w:p>
    <w:p w14:paraId="23E1D94C" w14:textId="77777777" w:rsidR="00CC55B7" w:rsidRDefault="00CC55B7" w:rsidP="00CC55B7">
      <w:pPr>
        <w:ind w:left="360"/>
        <w:rPr>
          <w:rFonts w:eastAsia="Times New Roman" w:cs="Times New Roman"/>
          <w:color w:val="FF0000"/>
          <w:szCs w:val="18"/>
          <w:lang w:val="en-US" w:eastAsia="da-DK"/>
        </w:rPr>
      </w:pPr>
      <w:r w:rsidRPr="00BC41DD">
        <w:rPr>
          <w:rFonts w:eastAsia="Times New Roman" w:cs="Times New Roman"/>
          <w:szCs w:val="18"/>
          <w:lang w:val="en-US" w:eastAsia="da-DK"/>
        </w:rPr>
        <w:lastRenderedPageBreak/>
        <w:t>The Danish Registration of Property Act (</w:t>
      </w:r>
      <w:proofErr w:type="spellStart"/>
      <w:r>
        <w:rPr>
          <w:rFonts w:eastAsia="Times New Roman" w:cs="Times New Roman"/>
          <w:i/>
          <w:szCs w:val="18"/>
          <w:lang w:val="en-US" w:eastAsia="da-DK"/>
        </w:rPr>
        <w:t>t</w:t>
      </w:r>
      <w:r w:rsidRPr="00BC41DD">
        <w:rPr>
          <w:rFonts w:eastAsia="Times New Roman" w:cs="Times New Roman"/>
          <w:i/>
          <w:szCs w:val="18"/>
          <w:lang w:val="en-US" w:eastAsia="da-DK"/>
        </w:rPr>
        <w:t>inglysningsloven</w:t>
      </w:r>
      <w:proofErr w:type="spellEnd"/>
      <w:r w:rsidRPr="00BC41DD">
        <w:rPr>
          <w:rFonts w:eastAsia="Times New Roman" w:cs="Times New Roman"/>
          <w:szCs w:val="18"/>
          <w:lang w:val="en-US" w:eastAsia="da-DK"/>
        </w:rPr>
        <w:t xml:space="preserve">) provides for the creation of a security interest </w:t>
      </w:r>
      <w:r>
        <w:rPr>
          <w:rFonts w:eastAsia="Times New Roman" w:cs="Times New Roman"/>
          <w:szCs w:val="18"/>
          <w:lang w:val="en-US" w:eastAsia="da-DK"/>
        </w:rPr>
        <w:t>over</w:t>
      </w:r>
      <w:r w:rsidRPr="00BC41DD">
        <w:rPr>
          <w:rFonts w:eastAsia="Times New Roman" w:cs="Times New Roman"/>
          <w:szCs w:val="18"/>
          <w:lang w:val="en-US" w:eastAsia="da-DK"/>
        </w:rPr>
        <w:t xml:space="preserve"> IPRs. The Act defines the relevant act of perfection (</w:t>
      </w:r>
      <w:proofErr w:type="spellStart"/>
      <w:r w:rsidRPr="00BC41DD">
        <w:rPr>
          <w:rFonts w:eastAsia="Times New Roman" w:cs="Times New Roman"/>
          <w:i/>
          <w:szCs w:val="18"/>
          <w:lang w:val="en-US" w:eastAsia="da-DK"/>
        </w:rPr>
        <w:t>sikringsakt</w:t>
      </w:r>
      <w:proofErr w:type="spellEnd"/>
      <w:r w:rsidRPr="00BC41DD">
        <w:rPr>
          <w:rFonts w:eastAsia="Times New Roman" w:cs="Times New Roman"/>
          <w:szCs w:val="18"/>
          <w:lang w:val="en-US" w:eastAsia="da-DK"/>
        </w:rPr>
        <w:t xml:space="preserve">) in relation to </w:t>
      </w:r>
      <w:r>
        <w:rPr>
          <w:rFonts w:eastAsia="Times New Roman" w:cs="Times New Roman"/>
          <w:szCs w:val="18"/>
          <w:lang w:val="en-US" w:eastAsia="da-DK"/>
        </w:rPr>
        <w:t>fixed charges</w:t>
      </w:r>
      <w:r w:rsidRPr="00BC41DD">
        <w:rPr>
          <w:rFonts w:eastAsia="Times New Roman" w:cs="Times New Roman"/>
          <w:szCs w:val="18"/>
          <w:lang w:val="en-US" w:eastAsia="da-DK"/>
        </w:rPr>
        <w:t xml:space="preserve"> (</w:t>
      </w:r>
      <w:proofErr w:type="spellStart"/>
      <w:r w:rsidRPr="00BC41DD">
        <w:rPr>
          <w:rFonts w:eastAsia="Times New Roman" w:cs="Times New Roman"/>
          <w:i/>
          <w:szCs w:val="18"/>
          <w:lang w:val="en-US" w:eastAsia="da-DK"/>
        </w:rPr>
        <w:t>underpant</w:t>
      </w:r>
      <w:proofErr w:type="spellEnd"/>
      <w:r>
        <w:rPr>
          <w:rFonts w:eastAsia="Times New Roman" w:cs="Times New Roman"/>
          <w:szCs w:val="18"/>
          <w:lang w:val="en-US" w:eastAsia="da-DK"/>
        </w:rPr>
        <w:t>) and floating charges</w:t>
      </w:r>
      <w:r w:rsidRPr="00BC41DD">
        <w:rPr>
          <w:rFonts w:eastAsia="Times New Roman" w:cs="Times New Roman"/>
          <w:szCs w:val="18"/>
          <w:lang w:val="en-US" w:eastAsia="da-DK"/>
        </w:rPr>
        <w:t xml:space="preserve"> (</w:t>
      </w:r>
      <w:proofErr w:type="spellStart"/>
      <w:r w:rsidRPr="00BC41DD">
        <w:rPr>
          <w:rFonts w:eastAsia="Times New Roman" w:cs="Times New Roman"/>
          <w:i/>
          <w:szCs w:val="18"/>
          <w:lang w:val="en-US" w:eastAsia="da-DK"/>
        </w:rPr>
        <w:t>virksomhedspant</w:t>
      </w:r>
      <w:proofErr w:type="spellEnd"/>
      <w:r w:rsidRPr="00BC41DD">
        <w:rPr>
          <w:rFonts w:eastAsia="Times New Roman" w:cs="Times New Roman"/>
          <w:szCs w:val="18"/>
          <w:lang w:val="en-US" w:eastAsia="da-DK"/>
        </w:rPr>
        <w:t xml:space="preserve">). It further defines what type of assets a </w:t>
      </w:r>
      <w:r>
        <w:rPr>
          <w:rFonts w:eastAsia="Times New Roman" w:cs="Times New Roman"/>
          <w:szCs w:val="18"/>
          <w:lang w:val="en-US" w:eastAsia="da-DK"/>
        </w:rPr>
        <w:t>floating charge</w:t>
      </w:r>
      <w:r w:rsidRPr="00BC41DD">
        <w:rPr>
          <w:rFonts w:eastAsia="Times New Roman" w:cs="Times New Roman"/>
          <w:szCs w:val="18"/>
          <w:lang w:val="en-US" w:eastAsia="da-DK"/>
        </w:rPr>
        <w:t xml:space="preserve"> can comprise. </w:t>
      </w:r>
    </w:p>
    <w:p w14:paraId="2A59F168" w14:textId="77777777" w:rsidR="00CC55B7" w:rsidRDefault="00CC55B7" w:rsidP="00CC55B7">
      <w:pPr>
        <w:ind w:left="360"/>
        <w:rPr>
          <w:rFonts w:eastAsia="Times New Roman" w:cs="Times New Roman"/>
          <w:color w:val="FF0000"/>
          <w:szCs w:val="18"/>
          <w:lang w:val="en-US" w:eastAsia="da-DK"/>
        </w:rPr>
      </w:pPr>
    </w:p>
    <w:p w14:paraId="578EF07B" w14:textId="77777777" w:rsidR="00CC55B7" w:rsidRPr="00BC41DD" w:rsidRDefault="00CC55B7" w:rsidP="00CC55B7">
      <w:pPr>
        <w:ind w:left="360"/>
        <w:rPr>
          <w:rFonts w:eastAsia="Times New Roman" w:cs="Times New Roman"/>
          <w:szCs w:val="18"/>
          <w:lang w:val="en-US" w:eastAsia="da-DK"/>
        </w:rPr>
      </w:pPr>
      <w:r w:rsidRPr="00BC41DD">
        <w:rPr>
          <w:rFonts w:eastAsia="Times New Roman" w:cs="Times New Roman"/>
          <w:szCs w:val="18"/>
          <w:lang w:val="en-US" w:eastAsia="da-DK"/>
        </w:rPr>
        <w:t xml:space="preserve">The enforcement of security interests </w:t>
      </w:r>
      <w:r>
        <w:rPr>
          <w:rFonts w:eastAsia="Times New Roman" w:cs="Times New Roman"/>
          <w:szCs w:val="18"/>
          <w:lang w:val="en-US" w:eastAsia="da-DK"/>
        </w:rPr>
        <w:t>over</w:t>
      </w:r>
      <w:r w:rsidRPr="00BC41DD">
        <w:rPr>
          <w:rFonts w:eastAsia="Times New Roman" w:cs="Times New Roman"/>
          <w:szCs w:val="18"/>
          <w:lang w:val="en-US" w:eastAsia="da-DK"/>
        </w:rPr>
        <w:t xml:space="preserve"> IPRs is governed by the general rules on enforcement in the Danish Administration of Justice Act</w:t>
      </w:r>
      <w:r>
        <w:rPr>
          <w:rFonts w:eastAsia="Times New Roman" w:cs="Times New Roman"/>
          <w:szCs w:val="18"/>
          <w:lang w:val="en-US" w:eastAsia="da-DK"/>
        </w:rPr>
        <w:t xml:space="preserve"> (</w:t>
      </w:r>
      <w:proofErr w:type="spellStart"/>
      <w:r>
        <w:rPr>
          <w:rFonts w:eastAsia="Times New Roman" w:cs="Times New Roman"/>
          <w:i/>
          <w:szCs w:val="18"/>
          <w:lang w:val="en-US" w:eastAsia="da-DK"/>
        </w:rPr>
        <w:t>retsplejeloven</w:t>
      </w:r>
      <w:proofErr w:type="spellEnd"/>
      <w:r>
        <w:rPr>
          <w:rFonts w:eastAsia="Times New Roman" w:cs="Times New Roman"/>
          <w:i/>
          <w:szCs w:val="18"/>
          <w:lang w:val="en-US" w:eastAsia="da-DK"/>
        </w:rPr>
        <w:t>)</w:t>
      </w:r>
      <w:r w:rsidRPr="00BC41DD">
        <w:rPr>
          <w:rFonts w:eastAsia="Times New Roman" w:cs="Times New Roman"/>
          <w:szCs w:val="18"/>
          <w:lang w:val="en-US" w:eastAsia="da-DK"/>
        </w:rPr>
        <w:t xml:space="preserve">. </w:t>
      </w:r>
    </w:p>
    <w:p w14:paraId="21AC8663" w14:textId="77777777" w:rsidR="00CC55B7" w:rsidRPr="00D14A74" w:rsidRDefault="00CC55B7" w:rsidP="00CC55B7">
      <w:pPr>
        <w:ind w:left="360"/>
        <w:rPr>
          <w:rFonts w:eastAsia="Times New Roman" w:cs="Times New Roman"/>
          <w:color w:val="FF0000"/>
          <w:szCs w:val="18"/>
          <w:lang w:val="en-US" w:eastAsia="da-DK"/>
        </w:rPr>
      </w:pPr>
    </w:p>
    <w:p w14:paraId="72AC466C" w14:textId="71670E1D" w:rsidR="00CC55B7" w:rsidRPr="00BC41DD" w:rsidRDefault="00DA0B3C" w:rsidP="00CC55B7">
      <w:pPr>
        <w:pStyle w:val="ListParagraph"/>
        <w:numPr>
          <w:ilvl w:val="0"/>
          <w:numId w:val="49"/>
        </w:numPr>
        <w:rPr>
          <w:rFonts w:eastAsia="Times New Roman" w:cs="Times New Roman"/>
          <w:b/>
          <w:color w:val="000000"/>
          <w:szCs w:val="18"/>
          <w:lang w:val="en-US" w:eastAsia="da-DK"/>
        </w:rPr>
      </w:pPr>
      <w:r>
        <w:rPr>
          <w:rFonts w:eastAsia="Times New Roman" w:cs="Times New Roman"/>
          <w:b/>
          <w:color w:val="000000"/>
          <w:szCs w:val="18"/>
          <w:lang w:val="en-US" w:eastAsia="da-DK"/>
        </w:rPr>
        <w:t>Under your G</w:t>
      </w:r>
      <w:r w:rsidR="00CC55B7" w:rsidRPr="00BC41DD">
        <w:rPr>
          <w:rFonts w:eastAsia="Times New Roman" w:cs="Times New Roman"/>
          <w:b/>
          <w:color w:val="000000"/>
          <w:szCs w:val="18"/>
          <w:lang w:val="en-US" w:eastAsia="da-DK"/>
        </w:rPr>
        <w:t>roup's current law, what types of security interests are available for IPRs? In addressing the questions in sub-paragraphs a) to c) below, please specify briefly the main characteristics and differences of the available types of security interests.</w:t>
      </w:r>
    </w:p>
    <w:p w14:paraId="5616A1DB" w14:textId="77777777" w:rsidR="00CC55B7" w:rsidRPr="00D7242E" w:rsidRDefault="00CC55B7" w:rsidP="00CC55B7">
      <w:pPr>
        <w:pStyle w:val="ListParagraph"/>
        <w:ind w:left="927"/>
        <w:rPr>
          <w:rFonts w:eastAsia="Times New Roman" w:cs="Times New Roman"/>
          <w:color w:val="FF0000"/>
          <w:szCs w:val="18"/>
          <w:lang w:val="en-US" w:eastAsia="da-DK"/>
        </w:rPr>
      </w:pPr>
    </w:p>
    <w:p w14:paraId="3D4C3BE1" w14:textId="77777777" w:rsidR="00CC55B7" w:rsidRPr="00BC41DD" w:rsidRDefault="00CC55B7" w:rsidP="00CC55B7">
      <w:pPr>
        <w:ind w:left="360"/>
        <w:rPr>
          <w:rFonts w:eastAsia="Times New Roman" w:cs="Times New Roman"/>
          <w:szCs w:val="18"/>
          <w:lang w:val="en-US" w:eastAsia="da-DK"/>
        </w:rPr>
      </w:pPr>
      <w:r w:rsidRPr="00BC41DD">
        <w:rPr>
          <w:rFonts w:eastAsia="Times New Roman" w:cs="Times New Roman"/>
          <w:szCs w:val="18"/>
          <w:lang w:val="en-US" w:eastAsia="da-DK"/>
        </w:rPr>
        <w:t xml:space="preserve">In general, security interest </w:t>
      </w:r>
      <w:r>
        <w:rPr>
          <w:rFonts w:eastAsia="Times New Roman" w:cs="Times New Roman"/>
          <w:szCs w:val="18"/>
          <w:lang w:val="en-US" w:eastAsia="da-DK"/>
        </w:rPr>
        <w:t>over</w:t>
      </w:r>
      <w:r w:rsidRPr="00BC41DD">
        <w:rPr>
          <w:rFonts w:eastAsia="Times New Roman" w:cs="Times New Roman"/>
          <w:szCs w:val="18"/>
          <w:lang w:val="en-US" w:eastAsia="da-DK"/>
        </w:rPr>
        <w:t xml:space="preserve"> IPRs can be made by </w:t>
      </w:r>
      <w:r>
        <w:rPr>
          <w:rFonts w:eastAsia="Times New Roman" w:cs="Times New Roman"/>
          <w:szCs w:val="18"/>
          <w:lang w:val="en-US" w:eastAsia="da-DK"/>
        </w:rPr>
        <w:t>way of</w:t>
      </w:r>
      <w:r w:rsidRPr="00BC41DD">
        <w:rPr>
          <w:rFonts w:eastAsia="Times New Roman" w:cs="Times New Roman"/>
          <w:szCs w:val="18"/>
          <w:lang w:val="en-US" w:eastAsia="da-DK"/>
        </w:rPr>
        <w:t xml:space="preserve"> </w:t>
      </w:r>
      <w:r>
        <w:rPr>
          <w:rFonts w:eastAsia="Times New Roman" w:cs="Times New Roman"/>
          <w:szCs w:val="18"/>
          <w:lang w:val="en-US" w:eastAsia="da-DK"/>
        </w:rPr>
        <w:t>fixed charges</w:t>
      </w:r>
      <w:r w:rsidRPr="00BC41DD">
        <w:rPr>
          <w:rFonts w:eastAsia="Times New Roman" w:cs="Times New Roman"/>
          <w:szCs w:val="18"/>
          <w:lang w:val="en-US" w:eastAsia="da-DK"/>
        </w:rPr>
        <w:t xml:space="preserve"> (</w:t>
      </w:r>
      <w:proofErr w:type="spellStart"/>
      <w:r w:rsidRPr="00BC41DD">
        <w:rPr>
          <w:rFonts w:eastAsia="Times New Roman" w:cs="Times New Roman"/>
          <w:i/>
          <w:szCs w:val="18"/>
          <w:lang w:val="en-US" w:eastAsia="da-DK"/>
        </w:rPr>
        <w:t>underpant</w:t>
      </w:r>
      <w:proofErr w:type="spellEnd"/>
      <w:r w:rsidRPr="00BC41DD">
        <w:rPr>
          <w:rFonts w:eastAsia="Times New Roman" w:cs="Times New Roman"/>
          <w:szCs w:val="18"/>
          <w:lang w:val="en-US" w:eastAsia="da-DK"/>
        </w:rPr>
        <w:t xml:space="preserve">) or </w:t>
      </w:r>
      <w:r>
        <w:rPr>
          <w:rFonts w:eastAsia="Times New Roman" w:cs="Times New Roman"/>
          <w:szCs w:val="18"/>
          <w:lang w:val="en-US" w:eastAsia="da-DK"/>
        </w:rPr>
        <w:t>floating charges</w:t>
      </w:r>
      <w:r w:rsidRPr="00BC41DD">
        <w:rPr>
          <w:rFonts w:eastAsia="Times New Roman" w:cs="Times New Roman"/>
          <w:szCs w:val="18"/>
          <w:lang w:val="en-US" w:eastAsia="da-DK"/>
        </w:rPr>
        <w:t xml:space="preserve"> (</w:t>
      </w:r>
      <w:proofErr w:type="spellStart"/>
      <w:r w:rsidRPr="00BC41DD">
        <w:rPr>
          <w:rFonts w:eastAsia="Times New Roman" w:cs="Times New Roman"/>
          <w:i/>
          <w:szCs w:val="18"/>
          <w:lang w:val="en-US" w:eastAsia="da-DK"/>
        </w:rPr>
        <w:t>virksomhedspant</w:t>
      </w:r>
      <w:proofErr w:type="spellEnd"/>
      <w:r w:rsidRPr="00BC41DD">
        <w:rPr>
          <w:rFonts w:eastAsia="Times New Roman" w:cs="Times New Roman"/>
          <w:szCs w:val="18"/>
          <w:lang w:val="en-US" w:eastAsia="da-DK"/>
        </w:rPr>
        <w:t xml:space="preserve">). The main characteristics of the two types of security interests are set out in </w:t>
      </w:r>
      <w:r>
        <w:rPr>
          <w:rFonts w:eastAsia="Times New Roman" w:cs="Times New Roman"/>
          <w:szCs w:val="18"/>
          <w:lang w:val="en-US" w:eastAsia="da-DK"/>
        </w:rPr>
        <w:t>below</w:t>
      </w:r>
      <w:r w:rsidRPr="00BC41DD">
        <w:rPr>
          <w:rFonts w:eastAsia="Times New Roman" w:cs="Times New Roman"/>
          <w:szCs w:val="18"/>
          <w:lang w:val="en-US" w:eastAsia="da-DK"/>
        </w:rPr>
        <w:t xml:space="preserve">. </w:t>
      </w:r>
    </w:p>
    <w:p w14:paraId="30A2011A" w14:textId="77777777" w:rsidR="00CC55B7" w:rsidRDefault="00CC55B7" w:rsidP="00CC55B7">
      <w:pPr>
        <w:rPr>
          <w:rFonts w:eastAsia="Times New Roman" w:cs="Times New Roman"/>
          <w:szCs w:val="18"/>
          <w:u w:val="single"/>
          <w:lang w:val="en-US" w:eastAsia="da-DK"/>
        </w:rPr>
      </w:pPr>
    </w:p>
    <w:p w14:paraId="52111E88" w14:textId="77777777" w:rsidR="00CC55B7" w:rsidRPr="00BC41DD" w:rsidRDefault="00CC55B7" w:rsidP="00CC55B7">
      <w:pPr>
        <w:ind w:left="360"/>
        <w:rPr>
          <w:rFonts w:eastAsia="Times New Roman" w:cs="Times New Roman"/>
          <w:szCs w:val="18"/>
          <w:lang w:val="en-US" w:eastAsia="da-DK"/>
        </w:rPr>
      </w:pPr>
      <w:r>
        <w:rPr>
          <w:rFonts w:eastAsia="Times New Roman" w:cs="Times New Roman"/>
          <w:szCs w:val="18"/>
          <w:u w:val="single"/>
          <w:lang w:val="en-US" w:eastAsia="da-DK"/>
        </w:rPr>
        <w:t>Fixed charge</w:t>
      </w:r>
      <w:r w:rsidRPr="00BC41DD">
        <w:rPr>
          <w:rFonts w:eastAsia="Times New Roman" w:cs="Times New Roman"/>
          <w:szCs w:val="18"/>
          <w:lang w:val="en-US" w:eastAsia="da-DK"/>
        </w:rPr>
        <w:tab/>
      </w:r>
    </w:p>
    <w:p w14:paraId="75CD2A4F" w14:textId="77777777" w:rsidR="00CC55B7" w:rsidRPr="00BC41DD" w:rsidRDefault="00CC55B7" w:rsidP="00CC55B7">
      <w:pPr>
        <w:ind w:left="360"/>
        <w:rPr>
          <w:rFonts w:eastAsia="Times New Roman" w:cs="Times New Roman"/>
          <w:szCs w:val="18"/>
          <w:u w:val="single"/>
          <w:lang w:val="en-US" w:eastAsia="da-DK"/>
        </w:rPr>
      </w:pPr>
    </w:p>
    <w:p w14:paraId="5ADD0FE9" w14:textId="199557E3" w:rsidR="00CC55B7" w:rsidRDefault="00EE0C7A" w:rsidP="00CC55B7">
      <w:pPr>
        <w:ind w:left="360"/>
        <w:rPr>
          <w:rFonts w:eastAsia="Times New Roman" w:cs="Times New Roman"/>
          <w:szCs w:val="18"/>
          <w:lang w:val="en-US" w:eastAsia="da-DK"/>
        </w:rPr>
      </w:pPr>
      <w:r w:rsidRPr="00EE0C7A">
        <w:rPr>
          <w:rFonts w:eastAsia="Times New Roman" w:cs="Times New Roman"/>
          <w:szCs w:val="18"/>
          <w:lang w:val="en-US" w:eastAsia="da-DK"/>
        </w:rPr>
        <w:t>Mortgage</w:t>
      </w:r>
      <w:r w:rsidR="00CC55B7" w:rsidRPr="00BC41DD">
        <w:rPr>
          <w:rFonts w:eastAsia="Times New Roman" w:cs="Times New Roman"/>
          <w:szCs w:val="18"/>
          <w:lang w:val="en-US" w:eastAsia="da-DK"/>
        </w:rPr>
        <w:t xml:space="preserve"> of an IPR</w:t>
      </w:r>
      <w:r>
        <w:rPr>
          <w:rFonts w:eastAsia="Times New Roman" w:cs="Times New Roman"/>
          <w:szCs w:val="18"/>
          <w:lang w:val="en-US" w:eastAsia="da-DK"/>
        </w:rPr>
        <w:t xml:space="preserve"> in the form of a fixed charge</w:t>
      </w:r>
      <w:r w:rsidR="00CC55B7" w:rsidRPr="00BC41DD">
        <w:rPr>
          <w:rFonts w:eastAsia="Times New Roman" w:cs="Times New Roman"/>
          <w:szCs w:val="18"/>
          <w:lang w:val="en-US" w:eastAsia="da-DK"/>
        </w:rPr>
        <w:t xml:space="preserve"> is possible pursuant to </w:t>
      </w:r>
      <w:r w:rsidR="00CC55B7">
        <w:rPr>
          <w:rFonts w:eastAsia="Times New Roman" w:cs="Times New Roman"/>
          <w:szCs w:val="18"/>
          <w:lang w:val="en-US" w:eastAsia="da-DK"/>
        </w:rPr>
        <w:t>s</w:t>
      </w:r>
      <w:r w:rsidR="00CC55B7" w:rsidRPr="00BC41DD">
        <w:rPr>
          <w:rFonts w:eastAsia="Times New Roman" w:cs="Times New Roman"/>
          <w:szCs w:val="18"/>
          <w:lang w:val="en-US" w:eastAsia="da-DK"/>
        </w:rPr>
        <w:t xml:space="preserve">ection 47 of the Danish Registration of Property Act. A </w:t>
      </w:r>
      <w:r w:rsidR="00CC55B7">
        <w:rPr>
          <w:rFonts w:eastAsia="Times New Roman" w:cs="Times New Roman"/>
          <w:szCs w:val="18"/>
          <w:lang w:val="en-US" w:eastAsia="da-DK"/>
        </w:rPr>
        <w:t>fixed charge</w:t>
      </w:r>
      <w:r w:rsidR="00CC55B7" w:rsidRPr="00BC41DD">
        <w:rPr>
          <w:rFonts w:eastAsia="Times New Roman" w:cs="Times New Roman"/>
          <w:szCs w:val="18"/>
          <w:lang w:val="en-US" w:eastAsia="da-DK"/>
        </w:rPr>
        <w:t xml:space="preserve"> only comprises the IPR that is specified in the </w:t>
      </w:r>
      <w:r w:rsidR="00CC55B7">
        <w:rPr>
          <w:rFonts w:eastAsia="Times New Roman" w:cs="Times New Roman"/>
          <w:szCs w:val="18"/>
          <w:lang w:val="en-US" w:eastAsia="da-DK"/>
        </w:rPr>
        <w:t>security interest</w:t>
      </w:r>
      <w:r w:rsidR="00CC55B7" w:rsidRPr="00BC41DD">
        <w:rPr>
          <w:rFonts w:eastAsia="Times New Roman" w:cs="Times New Roman"/>
          <w:szCs w:val="18"/>
          <w:lang w:val="en-US" w:eastAsia="da-DK"/>
        </w:rPr>
        <w:t xml:space="preserve"> agreement (as opposed to a </w:t>
      </w:r>
      <w:r w:rsidR="00CC55B7">
        <w:rPr>
          <w:rFonts w:eastAsia="Times New Roman" w:cs="Times New Roman"/>
          <w:szCs w:val="18"/>
          <w:lang w:val="en-US" w:eastAsia="da-DK"/>
        </w:rPr>
        <w:t>floating charge</w:t>
      </w:r>
      <w:r w:rsidR="00CC55B7" w:rsidRPr="00BC41DD">
        <w:rPr>
          <w:rFonts w:eastAsia="Times New Roman" w:cs="Times New Roman"/>
          <w:szCs w:val="18"/>
          <w:lang w:val="en-US" w:eastAsia="da-DK"/>
        </w:rPr>
        <w:t xml:space="preserve">). </w:t>
      </w:r>
      <w:r w:rsidR="00CC55B7" w:rsidRPr="00A67C34">
        <w:rPr>
          <w:rFonts w:eastAsia="Times New Roman" w:cs="Times New Roman"/>
          <w:szCs w:val="18"/>
          <w:lang w:val="en-US" w:eastAsia="da-DK"/>
        </w:rPr>
        <w:t xml:space="preserve">A </w:t>
      </w:r>
      <w:r w:rsidR="00CC55B7">
        <w:rPr>
          <w:rFonts w:eastAsia="Times New Roman" w:cs="Times New Roman"/>
          <w:szCs w:val="18"/>
          <w:lang w:val="en-US" w:eastAsia="da-DK"/>
        </w:rPr>
        <w:t>fixed charge</w:t>
      </w:r>
      <w:r w:rsidR="00CC55B7" w:rsidRPr="00A67C34">
        <w:rPr>
          <w:rFonts w:eastAsia="Times New Roman" w:cs="Times New Roman"/>
          <w:szCs w:val="18"/>
          <w:lang w:val="en-US" w:eastAsia="da-DK"/>
        </w:rPr>
        <w:t xml:space="preserve"> can be in the form of a mortgage</w:t>
      </w:r>
      <w:r w:rsidR="00CC55B7" w:rsidRPr="00BC41DD">
        <w:rPr>
          <w:rFonts w:eastAsia="Times New Roman" w:cs="Times New Roman"/>
          <w:szCs w:val="18"/>
          <w:lang w:val="en-US" w:eastAsia="da-DK"/>
        </w:rPr>
        <w:t xml:space="preserve"> </w:t>
      </w:r>
      <w:r w:rsidR="00CC55B7">
        <w:rPr>
          <w:rFonts w:eastAsia="Times New Roman" w:cs="Times New Roman"/>
          <w:szCs w:val="18"/>
          <w:lang w:val="en-US" w:eastAsia="da-DK"/>
        </w:rPr>
        <w:t xml:space="preserve">deed </w:t>
      </w:r>
      <w:r w:rsidR="00CC55B7" w:rsidRPr="00BC41DD">
        <w:rPr>
          <w:rFonts w:eastAsia="Times New Roman" w:cs="Times New Roman"/>
          <w:szCs w:val="18"/>
          <w:lang w:val="en-US" w:eastAsia="da-DK"/>
        </w:rPr>
        <w:t>(</w:t>
      </w:r>
      <w:proofErr w:type="spellStart"/>
      <w:r w:rsidR="00CC55B7" w:rsidRPr="00BC41DD">
        <w:rPr>
          <w:rFonts w:eastAsia="Times New Roman" w:cs="Times New Roman"/>
          <w:i/>
          <w:szCs w:val="18"/>
          <w:lang w:val="en-US" w:eastAsia="da-DK"/>
        </w:rPr>
        <w:t>pantebrev</w:t>
      </w:r>
      <w:proofErr w:type="spellEnd"/>
      <w:r w:rsidR="00CC55B7" w:rsidRPr="00BC41DD">
        <w:rPr>
          <w:rFonts w:eastAsia="Times New Roman" w:cs="Times New Roman"/>
          <w:szCs w:val="18"/>
          <w:lang w:val="en-US" w:eastAsia="da-DK"/>
        </w:rPr>
        <w:t>)</w:t>
      </w:r>
      <w:r w:rsidR="00CC55B7">
        <w:rPr>
          <w:rFonts w:eastAsia="Times New Roman" w:cs="Times New Roman"/>
          <w:szCs w:val="18"/>
          <w:lang w:val="en-US" w:eastAsia="da-DK"/>
        </w:rPr>
        <w:t xml:space="preserve">, </w:t>
      </w:r>
      <w:r w:rsidR="00CC55B7" w:rsidRPr="00BC41DD">
        <w:rPr>
          <w:rFonts w:eastAsia="Times New Roman" w:cs="Times New Roman"/>
          <w:szCs w:val="18"/>
          <w:lang w:val="en-US" w:eastAsia="da-DK"/>
        </w:rPr>
        <w:t xml:space="preserve">in the form of </w:t>
      </w:r>
      <w:r w:rsidR="00CC55B7">
        <w:rPr>
          <w:rFonts w:eastAsia="Times New Roman" w:cs="Times New Roman"/>
          <w:szCs w:val="18"/>
          <w:lang w:val="en-US" w:eastAsia="da-DK"/>
        </w:rPr>
        <w:t>mortgaging</w:t>
      </w:r>
      <w:r w:rsidR="00CC55B7" w:rsidRPr="00BC41DD">
        <w:rPr>
          <w:rFonts w:eastAsia="Times New Roman" w:cs="Times New Roman"/>
          <w:szCs w:val="18"/>
          <w:lang w:val="en-US" w:eastAsia="da-DK"/>
        </w:rPr>
        <w:t xml:space="preserve"> of an owner's mortgage (</w:t>
      </w:r>
      <w:proofErr w:type="spellStart"/>
      <w:r w:rsidR="00CC55B7" w:rsidRPr="00BC41DD">
        <w:rPr>
          <w:rFonts w:eastAsia="Times New Roman" w:cs="Times New Roman"/>
          <w:i/>
          <w:szCs w:val="18"/>
          <w:lang w:val="en-US" w:eastAsia="da-DK"/>
        </w:rPr>
        <w:t>underpantsætning</w:t>
      </w:r>
      <w:proofErr w:type="spellEnd"/>
      <w:r w:rsidR="00CC55B7" w:rsidRPr="00BC41DD">
        <w:rPr>
          <w:rFonts w:eastAsia="Times New Roman" w:cs="Times New Roman"/>
          <w:i/>
          <w:szCs w:val="18"/>
          <w:lang w:val="en-US" w:eastAsia="da-DK"/>
        </w:rPr>
        <w:t xml:space="preserve"> </w:t>
      </w:r>
      <w:proofErr w:type="spellStart"/>
      <w:r w:rsidR="00CC55B7" w:rsidRPr="00BC41DD">
        <w:rPr>
          <w:rFonts w:eastAsia="Times New Roman" w:cs="Times New Roman"/>
          <w:i/>
          <w:szCs w:val="18"/>
          <w:lang w:val="en-US" w:eastAsia="da-DK"/>
        </w:rPr>
        <w:t>af</w:t>
      </w:r>
      <w:proofErr w:type="spellEnd"/>
      <w:r w:rsidR="00CC55B7" w:rsidRPr="00BC41DD">
        <w:rPr>
          <w:rFonts w:eastAsia="Times New Roman" w:cs="Times New Roman"/>
          <w:i/>
          <w:szCs w:val="18"/>
          <w:lang w:val="en-US" w:eastAsia="da-DK"/>
        </w:rPr>
        <w:t xml:space="preserve"> et </w:t>
      </w:r>
      <w:proofErr w:type="spellStart"/>
      <w:r w:rsidR="00CC55B7" w:rsidRPr="00BC41DD">
        <w:rPr>
          <w:rFonts w:eastAsia="Times New Roman" w:cs="Times New Roman"/>
          <w:i/>
          <w:szCs w:val="18"/>
          <w:lang w:val="en-US" w:eastAsia="da-DK"/>
        </w:rPr>
        <w:t>ejerpantebrev</w:t>
      </w:r>
      <w:proofErr w:type="spellEnd"/>
      <w:r w:rsidR="00CC55B7" w:rsidRPr="00BC41DD">
        <w:rPr>
          <w:rFonts w:eastAsia="Times New Roman" w:cs="Times New Roman"/>
          <w:szCs w:val="18"/>
          <w:lang w:val="en-US" w:eastAsia="da-DK"/>
        </w:rPr>
        <w:t>)</w:t>
      </w:r>
      <w:r w:rsidR="00CC55B7">
        <w:rPr>
          <w:rFonts w:eastAsia="Times New Roman" w:cs="Times New Roman"/>
          <w:szCs w:val="18"/>
          <w:lang w:val="en-US" w:eastAsia="da-DK"/>
        </w:rPr>
        <w:t xml:space="preserve"> or in the form of </w:t>
      </w:r>
      <w:r w:rsidR="00CC55B7" w:rsidRPr="00BC41DD">
        <w:rPr>
          <w:rFonts w:eastAsia="Times New Roman" w:cs="Times New Roman"/>
          <w:szCs w:val="18"/>
          <w:lang w:val="en-US" w:eastAsia="da-DK"/>
        </w:rPr>
        <w:t>a letter of indemnity with a specific creditor (</w:t>
      </w:r>
      <w:proofErr w:type="spellStart"/>
      <w:r w:rsidR="00CC55B7" w:rsidRPr="00BC41DD">
        <w:rPr>
          <w:rFonts w:eastAsia="Times New Roman" w:cs="Times New Roman"/>
          <w:i/>
          <w:szCs w:val="18"/>
          <w:lang w:val="en-US" w:eastAsia="da-DK"/>
        </w:rPr>
        <w:t>skadesløsbrev</w:t>
      </w:r>
      <w:proofErr w:type="spellEnd"/>
      <w:r w:rsidR="00CC55B7" w:rsidRPr="00BC41DD">
        <w:rPr>
          <w:rFonts w:eastAsia="Times New Roman" w:cs="Times New Roman"/>
          <w:szCs w:val="18"/>
          <w:lang w:val="en-US" w:eastAsia="da-DK"/>
        </w:rPr>
        <w:t xml:space="preserve">). An owner's mortgage is granted to the owner </w:t>
      </w:r>
      <w:r w:rsidR="00CC55B7">
        <w:rPr>
          <w:rFonts w:eastAsia="Times New Roman" w:cs="Times New Roman"/>
          <w:szCs w:val="18"/>
          <w:lang w:val="en-US" w:eastAsia="da-DK"/>
        </w:rPr>
        <w:t>allowing the owner</w:t>
      </w:r>
      <w:r w:rsidR="00CC55B7" w:rsidRPr="00BC41DD">
        <w:rPr>
          <w:rFonts w:eastAsia="Times New Roman" w:cs="Times New Roman"/>
          <w:szCs w:val="18"/>
          <w:lang w:val="en-US" w:eastAsia="da-DK"/>
        </w:rPr>
        <w:t xml:space="preserve"> to </w:t>
      </w:r>
      <w:r w:rsidR="00CC55B7">
        <w:rPr>
          <w:rFonts w:eastAsia="Times New Roman" w:cs="Times New Roman"/>
          <w:szCs w:val="18"/>
          <w:lang w:val="en-US" w:eastAsia="da-DK"/>
        </w:rPr>
        <w:t>mortgage</w:t>
      </w:r>
      <w:r w:rsidR="00DA0B3C">
        <w:rPr>
          <w:rFonts w:eastAsia="Times New Roman" w:cs="Times New Roman"/>
          <w:szCs w:val="18"/>
          <w:lang w:val="en-US" w:eastAsia="da-DK"/>
        </w:rPr>
        <w:t xml:space="preserve"> </w:t>
      </w:r>
      <w:r w:rsidR="00CC55B7">
        <w:rPr>
          <w:rFonts w:eastAsia="Times New Roman" w:cs="Times New Roman"/>
          <w:szCs w:val="18"/>
          <w:lang w:val="en-US" w:eastAsia="da-DK"/>
        </w:rPr>
        <w:t>the owner's mortgage</w:t>
      </w:r>
      <w:r w:rsidR="00CC55B7" w:rsidRPr="00BC41DD">
        <w:rPr>
          <w:rFonts w:eastAsia="Times New Roman" w:cs="Times New Roman"/>
          <w:szCs w:val="18"/>
          <w:lang w:val="en-US" w:eastAsia="da-DK"/>
        </w:rPr>
        <w:t xml:space="preserve"> to one or more security takers</w:t>
      </w:r>
      <w:r w:rsidR="00CC55B7">
        <w:rPr>
          <w:rFonts w:eastAsia="Times New Roman" w:cs="Times New Roman"/>
          <w:szCs w:val="18"/>
          <w:lang w:val="en-US" w:eastAsia="da-DK"/>
        </w:rPr>
        <w:t xml:space="preserve"> and to reuse the owner's mortgage</w:t>
      </w:r>
      <w:r w:rsidR="00CC55B7" w:rsidRPr="00BC41DD">
        <w:rPr>
          <w:rFonts w:eastAsia="Times New Roman" w:cs="Times New Roman"/>
          <w:szCs w:val="18"/>
          <w:lang w:val="en-US" w:eastAsia="da-DK"/>
        </w:rPr>
        <w:t>.</w:t>
      </w:r>
      <w:r w:rsidR="00CC55B7">
        <w:rPr>
          <w:rFonts w:eastAsia="Times New Roman" w:cs="Times New Roman"/>
          <w:szCs w:val="18"/>
          <w:lang w:val="en-US" w:eastAsia="da-DK"/>
        </w:rPr>
        <w:t xml:space="preserve"> </w:t>
      </w:r>
      <w:r w:rsidR="00CC55B7" w:rsidRPr="00521527">
        <w:rPr>
          <w:rFonts w:eastAsia="Times New Roman" w:cs="Times New Roman"/>
          <w:szCs w:val="18"/>
          <w:lang w:val="en-US" w:eastAsia="da-DK"/>
        </w:rPr>
        <w:t>A letter of indemnity is granted to a specific creditor</w:t>
      </w:r>
      <w:r w:rsidR="00CC55B7">
        <w:rPr>
          <w:rFonts w:eastAsia="Times New Roman" w:cs="Times New Roman"/>
          <w:szCs w:val="18"/>
          <w:lang w:val="en-US" w:eastAsia="da-DK"/>
        </w:rPr>
        <w:t xml:space="preserve"> to provide security for a continually outstanding account e.g. an overdraft facility. </w:t>
      </w:r>
    </w:p>
    <w:p w14:paraId="6DB8372E" w14:textId="77777777" w:rsidR="00CC55B7" w:rsidRDefault="00CC55B7" w:rsidP="00CC55B7">
      <w:pPr>
        <w:ind w:left="360"/>
        <w:rPr>
          <w:rFonts w:eastAsia="Times New Roman" w:cs="Times New Roman"/>
          <w:szCs w:val="18"/>
          <w:lang w:val="en-US" w:eastAsia="da-DK"/>
        </w:rPr>
      </w:pPr>
    </w:p>
    <w:p w14:paraId="4F29E23C" w14:textId="251AC879" w:rsidR="00CC55B7" w:rsidRPr="00BC41DD" w:rsidRDefault="00CC55B7" w:rsidP="00CC55B7">
      <w:pPr>
        <w:ind w:left="360"/>
        <w:rPr>
          <w:rFonts w:eastAsia="Times New Roman" w:cs="Times New Roman"/>
          <w:szCs w:val="18"/>
          <w:lang w:val="en-US" w:eastAsia="da-DK"/>
        </w:rPr>
      </w:pPr>
      <w:r>
        <w:rPr>
          <w:rFonts w:eastAsia="Times New Roman" w:cs="Times New Roman"/>
          <w:szCs w:val="18"/>
          <w:lang w:val="en-US" w:eastAsia="da-DK"/>
        </w:rPr>
        <w:t>The three</w:t>
      </w:r>
      <w:r w:rsidRPr="00BC41DD">
        <w:rPr>
          <w:rFonts w:eastAsia="Times New Roman" w:cs="Times New Roman"/>
          <w:szCs w:val="18"/>
          <w:lang w:val="en-US" w:eastAsia="da-DK"/>
        </w:rPr>
        <w:t xml:space="preserve"> forms of </w:t>
      </w:r>
      <w:r>
        <w:rPr>
          <w:rFonts w:eastAsia="Times New Roman" w:cs="Times New Roman"/>
          <w:szCs w:val="18"/>
          <w:lang w:val="en-US" w:eastAsia="da-DK"/>
        </w:rPr>
        <w:t>fixed charge</w:t>
      </w:r>
      <w:r w:rsidRPr="00BC41DD">
        <w:rPr>
          <w:rFonts w:eastAsia="Times New Roman" w:cs="Times New Roman"/>
          <w:szCs w:val="18"/>
          <w:lang w:val="en-US" w:eastAsia="da-DK"/>
        </w:rPr>
        <w:t xml:space="preserve"> must be registered in the Danish register of marriage contracts, chattel mortgages and declarations of legal incapacity (</w:t>
      </w:r>
      <w:proofErr w:type="spellStart"/>
      <w:r w:rsidRPr="00BC41DD">
        <w:rPr>
          <w:rFonts w:eastAsia="Times New Roman" w:cs="Times New Roman"/>
          <w:i/>
          <w:szCs w:val="18"/>
          <w:lang w:val="en-US" w:eastAsia="da-DK"/>
        </w:rPr>
        <w:t>personbogen</w:t>
      </w:r>
      <w:proofErr w:type="spellEnd"/>
      <w:r w:rsidRPr="00BC41DD">
        <w:rPr>
          <w:rFonts w:eastAsia="Times New Roman" w:cs="Times New Roman"/>
          <w:szCs w:val="18"/>
          <w:lang w:val="en-US" w:eastAsia="da-DK"/>
        </w:rPr>
        <w:t xml:space="preserve">) to be binding on third parties (the only exception being </w:t>
      </w:r>
      <w:r w:rsidR="00EE0C7A" w:rsidRPr="00466B56">
        <w:rPr>
          <w:rFonts w:eastAsia="Times New Roman" w:cs="Times New Roman"/>
          <w:szCs w:val="18"/>
          <w:lang w:val="en-US" w:eastAsia="da-DK"/>
        </w:rPr>
        <w:t>mortgage</w:t>
      </w:r>
      <w:r w:rsidR="00EE0C7A">
        <w:rPr>
          <w:rFonts w:eastAsia="Times New Roman" w:cs="Times New Roman"/>
          <w:szCs w:val="18"/>
          <w:lang w:val="en-US" w:eastAsia="da-DK"/>
        </w:rPr>
        <w:t xml:space="preserve"> </w:t>
      </w:r>
      <w:r w:rsidRPr="00EE0C7A">
        <w:rPr>
          <w:rFonts w:eastAsia="Times New Roman" w:cs="Times New Roman"/>
          <w:szCs w:val="18"/>
          <w:lang w:val="en-US" w:eastAsia="da-DK"/>
        </w:rPr>
        <w:t>of</w:t>
      </w:r>
      <w:r w:rsidRPr="00BC41DD">
        <w:rPr>
          <w:rFonts w:eastAsia="Times New Roman" w:cs="Times New Roman"/>
          <w:szCs w:val="18"/>
          <w:lang w:val="en-US" w:eastAsia="da-DK"/>
        </w:rPr>
        <w:t xml:space="preserve"> EU trademarks and EU designs </w:t>
      </w:r>
      <w:r w:rsidR="00466B56">
        <w:rPr>
          <w:rFonts w:eastAsia="Times New Roman" w:cs="Times New Roman"/>
          <w:szCs w:val="18"/>
          <w:lang w:val="en-US" w:eastAsia="da-DK"/>
        </w:rPr>
        <w:t xml:space="preserve">in the form of a fixed charge </w:t>
      </w:r>
      <w:r w:rsidRPr="00BC41DD">
        <w:rPr>
          <w:rFonts w:eastAsia="Times New Roman" w:cs="Times New Roman"/>
          <w:szCs w:val="18"/>
          <w:lang w:val="en-US" w:eastAsia="da-DK"/>
        </w:rPr>
        <w:t xml:space="preserve">that are to be notified to EUIPO in order to be effective against third parties in Denmark and the rest of the European Union). </w:t>
      </w:r>
    </w:p>
    <w:p w14:paraId="14D901D3" w14:textId="77777777" w:rsidR="00CC55B7" w:rsidRPr="00BC41DD" w:rsidRDefault="00CC55B7" w:rsidP="00CC55B7">
      <w:pPr>
        <w:rPr>
          <w:rFonts w:eastAsia="Times New Roman" w:cs="Times New Roman"/>
          <w:szCs w:val="18"/>
          <w:lang w:val="en-US" w:eastAsia="da-DK"/>
        </w:rPr>
      </w:pPr>
    </w:p>
    <w:p w14:paraId="6427AFF3" w14:textId="77777777" w:rsidR="00CC55B7" w:rsidRDefault="00CC55B7" w:rsidP="00CC55B7">
      <w:pPr>
        <w:ind w:left="360"/>
        <w:rPr>
          <w:rFonts w:eastAsia="Times New Roman" w:cs="Times New Roman"/>
          <w:szCs w:val="18"/>
          <w:u w:val="single"/>
          <w:lang w:val="en-US" w:eastAsia="da-DK"/>
        </w:rPr>
      </w:pPr>
    </w:p>
    <w:p w14:paraId="6195F53C" w14:textId="77777777" w:rsidR="00CC55B7" w:rsidRDefault="00CC55B7" w:rsidP="00CC55B7">
      <w:pPr>
        <w:ind w:left="360"/>
        <w:rPr>
          <w:rFonts w:eastAsia="Times New Roman" w:cs="Times New Roman"/>
          <w:szCs w:val="18"/>
          <w:u w:val="single"/>
          <w:lang w:val="en-US" w:eastAsia="da-DK"/>
        </w:rPr>
      </w:pPr>
    </w:p>
    <w:p w14:paraId="50EDF795" w14:textId="77777777" w:rsidR="00CC55B7" w:rsidRPr="004151B9" w:rsidRDefault="00CC55B7" w:rsidP="00CC55B7">
      <w:pPr>
        <w:ind w:left="360"/>
        <w:rPr>
          <w:rFonts w:eastAsia="Times New Roman" w:cs="Times New Roman"/>
          <w:szCs w:val="18"/>
          <w:u w:val="single"/>
          <w:lang w:val="en-US" w:eastAsia="da-DK"/>
        </w:rPr>
      </w:pPr>
      <w:r w:rsidRPr="004151B9">
        <w:rPr>
          <w:rFonts w:eastAsia="Times New Roman" w:cs="Times New Roman"/>
          <w:szCs w:val="18"/>
          <w:u w:val="single"/>
          <w:lang w:val="en-US" w:eastAsia="da-DK"/>
        </w:rPr>
        <w:lastRenderedPageBreak/>
        <w:t>Floating charge</w:t>
      </w:r>
    </w:p>
    <w:p w14:paraId="543FE179" w14:textId="77777777" w:rsidR="00CC55B7" w:rsidRPr="00BC41DD" w:rsidRDefault="00CC55B7" w:rsidP="00CC55B7">
      <w:pPr>
        <w:ind w:left="360"/>
        <w:rPr>
          <w:rFonts w:eastAsia="Times New Roman" w:cs="Times New Roman"/>
          <w:szCs w:val="18"/>
          <w:u w:val="single"/>
          <w:lang w:val="en-US" w:eastAsia="da-DK"/>
        </w:rPr>
      </w:pPr>
    </w:p>
    <w:p w14:paraId="31B9D0B3" w14:textId="722CA91F" w:rsidR="00CC55B7" w:rsidRPr="00BC41DD" w:rsidRDefault="00CC55B7" w:rsidP="00CC55B7">
      <w:pPr>
        <w:ind w:left="360"/>
        <w:rPr>
          <w:rFonts w:eastAsia="Times New Roman" w:cs="Times New Roman"/>
          <w:szCs w:val="18"/>
          <w:lang w:val="en-US" w:eastAsia="da-DK"/>
        </w:rPr>
      </w:pPr>
      <w:r w:rsidRPr="00BC41DD">
        <w:rPr>
          <w:rFonts w:eastAsia="Times New Roman" w:cs="Times New Roman"/>
          <w:szCs w:val="18"/>
          <w:lang w:val="en-US" w:eastAsia="da-DK"/>
        </w:rPr>
        <w:t xml:space="preserve">A </w:t>
      </w:r>
      <w:r>
        <w:rPr>
          <w:rFonts w:eastAsia="Times New Roman" w:cs="Times New Roman"/>
          <w:szCs w:val="18"/>
          <w:lang w:val="en-US" w:eastAsia="da-DK"/>
        </w:rPr>
        <w:t>floating charge</w:t>
      </w:r>
      <w:r w:rsidRPr="00BC41DD">
        <w:rPr>
          <w:rFonts w:eastAsia="Times New Roman" w:cs="Times New Roman"/>
          <w:szCs w:val="18"/>
          <w:lang w:val="en-US" w:eastAsia="da-DK"/>
        </w:rPr>
        <w:t xml:space="preserve"> can be made by the owner of a business enterprise pursuant to </w:t>
      </w:r>
      <w:r>
        <w:rPr>
          <w:rFonts w:eastAsia="Times New Roman" w:cs="Times New Roman"/>
          <w:szCs w:val="18"/>
          <w:lang w:val="en-US" w:eastAsia="da-DK"/>
        </w:rPr>
        <w:t>s</w:t>
      </w:r>
      <w:r w:rsidRPr="00BC41DD">
        <w:rPr>
          <w:rFonts w:eastAsia="Times New Roman" w:cs="Times New Roman"/>
          <w:szCs w:val="18"/>
          <w:lang w:val="en-US" w:eastAsia="da-DK"/>
        </w:rPr>
        <w:t xml:space="preserve">ection 47c of the Danish Registration of Property Act. A </w:t>
      </w:r>
      <w:r>
        <w:rPr>
          <w:rFonts w:eastAsia="Times New Roman" w:cs="Times New Roman"/>
          <w:szCs w:val="18"/>
          <w:lang w:val="en-US" w:eastAsia="da-DK"/>
        </w:rPr>
        <w:t>floating charge</w:t>
      </w:r>
      <w:r w:rsidRPr="00BC41DD">
        <w:rPr>
          <w:rFonts w:eastAsia="Times New Roman" w:cs="Times New Roman"/>
          <w:szCs w:val="18"/>
          <w:lang w:val="en-US" w:eastAsia="da-DK"/>
        </w:rPr>
        <w:t xml:space="preserve"> may comprise a number of assets owned by the company, including IPRs, see </w:t>
      </w:r>
      <w:r>
        <w:rPr>
          <w:rFonts w:eastAsia="Times New Roman" w:cs="Times New Roman"/>
          <w:szCs w:val="18"/>
          <w:lang w:val="en-US" w:eastAsia="da-DK"/>
        </w:rPr>
        <w:t>s</w:t>
      </w:r>
      <w:r w:rsidRPr="00BC41DD">
        <w:rPr>
          <w:rFonts w:eastAsia="Times New Roman" w:cs="Times New Roman"/>
          <w:szCs w:val="18"/>
          <w:lang w:val="en-US" w:eastAsia="da-DK"/>
        </w:rPr>
        <w:t xml:space="preserve">ection 47c, subsection 3, no. 7, which specifically mentions intellectual property rights. A </w:t>
      </w:r>
      <w:r>
        <w:rPr>
          <w:rFonts w:eastAsia="Times New Roman" w:cs="Times New Roman"/>
          <w:szCs w:val="18"/>
          <w:lang w:val="en-US" w:eastAsia="da-DK"/>
        </w:rPr>
        <w:t>floating charge</w:t>
      </w:r>
      <w:r w:rsidRPr="00BC41DD">
        <w:rPr>
          <w:rFonts w:eastAsia="Times New Roman" w:cs="Times New Roman"/>
          <w:szCs w:val="18"/>
          <w:lang w:val="en-US" w:eastAsia="da-DK"/>
        </w:rPr>
        <w:t xml:space="preserve"> often comprises a number of assets and not just the actual IPR, as opposed to</w:t>
      </w:r>
      <w:r w:rsidR="00EE0C7A">
        <w:rPr>
          <w:rFonts w:eastAsia="Times New Roman" w:cs="Times New Roman"/>
          <w:szCs w:val="18"/>
          <w:lang w:val="en-US" w:eastAsia="da-DK"/>
        </w:rPr>
        <w:t xml:space="preserve"> a</w:t>
      </w:r>
      <w:r w:rsidRPr="00BC41DD">
        <w:rPr>
          <w:rFonts w:eastAsia="Times New Roman" w:cs="Times New Roman"/>
          <w:szCs w:val="18"/>
          <w:lang w:val="en-US" w:eastAsia="da-DK"/>
        </w:rPr>
        <w:t xml:space="preserve"> </w:t>
      </w:r>
      <w:r w:rsidRPr="00EE0C7A">
        <w:rPr>
          <w:rFonts w:eastAsia="Times New Roman" w:cs="Times New Roman"/>
          <w:szCs w:val="18"/>
          <w:lang w:val="en-US" w:eastAsia="da-DK"/>
        </w:rPr>
        <w:t>fixed charge</w:t>
      </w:r>
      <w:r w:rsidRPr="00BC41DD">
        <w:rPr>
          <w:rFonts w:eastAsia="Times New Roman" w:cs="Times New Roman"/>
          <w:szCs w:val="18"/>
          <w:lang w:val="en-US" w:eastAsia="da-DK"/>
        </w:rPr>
        <w:t xml:space="preserve">. However, a </w:t>
      </w:r>
      <w:r>
        <w:rPr>
          <w:rFonts w:eastAsia="Times New Roman" w:cs="Times New Roman"/>
          <w:szCs w:val="18"/>
          <w:lang w:val="en-US" w:eastAsia="da-DK"/>
        </w:rPr>
        <w:t>floating charge</w:t>
      </w:r>
      <w:r w:rsidRPr="00BC41DD">
        <w:rPr>
          <w:rFonts w:eastAsia="Times New Roman" w:cs="Times New Roman"/>
          <w:szCs w:val="18"/>
          <w:lang w:val="en-US" w:eastAsia="da-DK"/>
        </w:rPr>
        <w:t xml:space="preserve"> cannot comprise EU trademarks or EU design</w:t>
      </w:r>
      <w:r>
        <w:rPr>
          <w:rFonts w:eastAsia="Times New Roman" w:cs="Times New Roman"/>
          <w:szCs w:val="18"/>
          <w:lang w:val="en-US" w:eastAsia="da-DK"/>
        </w:rPr>
        <w:t>s</w:t>
      </w:r>
      <w:r w:rsidRPr="00BC41DD">
        <w:rPr>
          <w:rFonts w:eastAsia="Times New Roman" w:cs="Times New Roman"/>
          <w:szCs w:val="18"/>
          <w:lang w:val="en-US" w:eastAsia="da-DK"/>
        </w:rPr>
        <w:t xml:space="preserve"> (or intellectual property rights obtained in foreign jurisdictions). </w:t>
      </w:r>
    </w:p>
    <w:p w14:paraId="40883287" w14:textId="77777777" w:rsidR="00CC55B7" w:rsidRPr="00BC41DD" w:rsidRDefault="00CC55B7" w:rsidP="00CC55B7">
      <w:pPr>
        <w:ind w:left="360"/>
        <w:rPr>
          <w:rFonts w:eastAsia="Times New Roman" w:cs="Times New Roman"/>
          <w:szCs w:val="18"/>
          <w:lang w:val="en-US" w:eastAsia="da-DK"/>
        </w:rPr>
      </w:pPr>
    </w:p>
    <w:p w14:paraId="4407342B" w14:textId="77777777" w:rsidR="00CC55B7" w:rsidRPr="00BC41DD" w:rsidRDefault="00CC55B7" w:rsidP="00CC55B7">
      <w:pPr>
        <w:ind w:left="360"/>
        <w:rPr>
          <w:rFonts w:eastAsia="Times New Roman" w:cs="Times New Roman"/>
          <w:szCs w:val="18"/>
          <w:lang w:val="en-US" w:eastAsia="da-DK"/>
        </w:rPr>
      </w:pPr>
      <w:r w:rsidRPr="00BC41DD">
        <w:rPr>
          <w:rFonts w:eastAsia="Times New Roman" w:cs="Times New Roman"/>
          <w:szCs w:val="18"/>
          <w:lang w:val="en-US" w:eastAsia="da-DK"/>
        </w:rPr>
        <w:t xml:space="preserve">A </w:t>
      </w:r>
      <w:r>
        <w:rPr>
          <w:rFonts w:eastAsia="Times New Roman" w:cs="Times New Roman"/>
          <w:szCs w:val="18"/>
          <w:lang w:val="en-US" w:eastAsia="da-DK"/>
        </w:rPr>
        <w:t>floating charge</w:t>
      </w:r>
      <w:r w:rsidRPr="00BC41DD">
        <w:rPr>
          <w:rFonts w:eastAsia="Times New Roman" w:cs="Times New Roman"/>
          <w:szCs w:val="18"/>
          <w:lang w:val="en-US" w:eastAsia="da-DK"/>
        </w:rPr>
        <w:t xml:space="preserve"> can be made in the form of a letter of indemnity with a specific creditor (</w:t>
      </w:r>
      <w:proofErr w:type="spellStart"/>
      <w:r w:rsidRPr="00BC41DD">
        <w:rPr>
          <w:rFonts w:eastAsia="Times New Roman" w:cs="Times New Roman"/>
          <w:i/>
          <w:szCs w:val="18"/>
          <w:lang w:val="en-US" w:eastAsia="da-DK"/>
        </w:rPr>
        <w:t>skadesløsbrev</w:t>
      </w:r>
      <w:proofErr w:type="spellEnd"/>
      <w:r w:rsidRPr="00BC41DD">
        <w:rPr>
          <w:rFonts w:eastAsia="Times New Roman" w:cs="Times New Roman"/>
          <w:szCs w:val="18"/>
          <w:lang w:val="en-US" w:eastAsia="da-DK"/>
        </w:rPr>
        <w:t xml:space="preserve">) or in the form of </w:t>
      </w:r>
      <w:r>
        <w:rPr>
          <w:rFonts w:eastAsia="Times New Roman" w:cs="Times New Roman"/>
          <w:szCs w:val="18"/>
          <w:lang w:val="en-US" w:eastAsia="da-DK"/>
        </w:rPr>
        <w:t>mortgaging</w:t>
      </w:r>
      <w:r w:rsidRPr="00BC41DD">
        <w:rPr>
          <w:rFonts w:eastAsia="Times New Roman" w:cs="Times New Roman"/>
          <w:szCs w:val="18"/>
          <w:lang w:val="en-US" w:eastAsia="da-DK"/>
        </w:rPr>
        <w:t xml:space="preserve"> of an owner's mortgage (</w:t>
      </w:r>
      <w:proofErr w:type="spellStart"/>
      <w:r w:rsidRPr="00BC41DD">
        <w:rPr>
          <w:rFonts w:eastAsia="Times New Roman" w:cs="Times New Roman"/>
          <w:i/>
          <w:szCs w:val="18"/>
          <w:lang w:val="en-US" w:eastAsia="da-DK"/>
        </w:rPr>
        <w:t>underpantsætning</w:t>
      </w:r>
      <w:proofErr w:type="spellEnd"/>
      <w:r w:rsidRPr="00BC41DD">
        <w:rPr>
          <w:rFonts w:eastAsia="Times New Roman" w:cs="Times New Roman"/>
          <w:i/>
          <w:szCs w:val="18"/>
          <w:lang w:val="en-US" w:eastAsia="da-DK"/>
        </w:rPr>
        <w:t xml:space="preserve"> </w:t>
      </w:r>
      <w:proofErr w:type="spellStart"/>
      <w:r w:rsidRPr="00BC41DD">
        <w:rPr>
          <w:rFonts w:eastAsia="Times New Roman" w:cs="Times New Roman"/>
          <w:i/>
          <w:szCs w:val="18"/>
          <w:lang w:val="en-US" w:eastAsia="da-DK"/>
        </w:rPr>
        <w:t>af</w:t>
      </w:r>
      <w:proofErr w:type="spellEnd"/>
      <w:r w:rsidRPr="00BC41DD">
        <w:rPr>
          <w:rFonts w:eastAsia="Times New Roman" w:cs="Times New Roman"/>
          <w:i/>
          <w:szCs w:val="18"/>
          <w:lang w:val="en-US" w:eastAsia="da-DK"/>
        </w:rPr>
        <w:t xml:space="preserve"> et </w:t>
      </w:r>
      <w:proofErr w:type="spellStart"/>
      <w:r w:rsidRPr="00BC41DD">
        <w:rPr>
          <w:rFonts w:eastAsia="Times New Roman" w:cs="Times New Roman"/>
          <w:i/>
          <w:szCs w:val="18"/>
          <w:lang w:val="en-US" w:eastAsia="da-DK"/>
        </w:rPr>
        <w:t>ejerpantebrev</w:t>
      </w:r>
      <w:proofErr w:type="spellEnd"/>
      <w:r w:rsidRPr="00BC41DD">
        <w:rPr>
          <w:rFonts w:eastAsia="Times New Roman" w:cs="Times New Roman"/>
          <w:szCs w:val="18"/>
          <w:lang w:val="en-US" w:eastAsia="da-DK"/>
        </w:rPr>
        <w:t xml:space="preserve">). The act of perfection is registration hereof in the Danish register of marriage contracts, chattel mortgages and declarations of legal incapacity. </w:t>
      </w:r>
    </w:p>
    <w:p w14:paraId="63692844" w14:textId="77777777" w:rsidR="00CC55B7" w:rsidRPr="00BC41DD" w:rsidRDefault="00CC55B7" w:rsidP="00CC55B7">
      <w:pPr>
        <w:ind w:left="360"/>
        <w:rPr>
          <w:rFonts w:eastAsia="Times New Roman" w:cs="Times New Roman"/>
          <w:szCs w:val="18"/>
          <w:lang w:val="en-US" w:eastAsia="da-DK"/>
        </w:rPr>
      </w:pPr>
    </w:p>
    <w:p w14:paraId="543A9FF4" w14:textId="16EDC78C" w:rsidR="00CC55B7" w:rsidRPr="00BC41DD" w:rsidRDefault="00CC55B7" w:rsidP="00CC55B7">
      <w:pPr>
        <w:ind w:left="360"/>
        <w:rPr>
          <w:rFonts w:eastAsia="Times New Roman" w:cs="Times New Roman"/>
          <w:szCs w:val="18"/>
          <w:lang w:val="en-US" w:eastAsia="da-DK"/>
        </w:rPr>
      </w:pPr>
      <w:r w:rsidRPr="00BC41DD">
        <w:rPr>
          <w:rFonts w:eastAsia="Times New Roman" w:cs="Times New Roman"/>
          <w:szCs w:val="18"/>
          <w:lang w:val="en-US" w:eastAsia="da-DK"/>
        </w:rPr>
        <w:t xml:space="preserve">A </w:t>
      </w:r>
      <w:r>
        <w:rPr>
          <w:rFonts w:eastAsia="Times New Roman" w:cs="Times New Roman"/>
          <w:szCs w:val="18"/>
          <w:lang w:val="en-US" w:eastAsia="da-DK"/>
        </w:rPr>
        <w:t>floating charge</w:t>
      </w:r>
      <w:r w:rsidRPr="00BC41DD">
        <w:rPr>
          <w:rFonts w:eastAsia="Times New Roman" w:cs="Times New Roman"/>
          <w:szCs w:val="18"/>
          <w:lang w:val="en-US" w:eastAsia="da-DK"/>
        </w:rPr>
        <w:t xml:space="preserve"> </w:t>
      </w:r>
      <w:r>
        <w:rPr>
          <w:rFonts w:eastAsia="Times New Roman" w:cs="Times New Roman"/>
          <w:szCs w:val="18"/>
          <w:lang w:val="en-US" w:eastAsia="da-DK"/>
        </w:rPr>
        <w:t xml:space="preserve">is </w:t>
      </w:r>
      <w:r w:rsidR="00194BAA">
        <w:rPr>
          <w:rFonts w:eastAsia="Times New Roman" w:cs="Times New Roman"/>
          <w:szCs w:val="18"/>
          <w:lang w:val="en-US" w:eastAsia="da-DK"/>
        </w:rPr>
        <w:t>characterized by being</w:t>
      </w:r>
      <w:r>
        <w:rPr>
          <w:rFonts w:eastAsia="Times New Roman" w:cs="Times New Roman"/>
          <w:szCs w:val="18"/>
          <w:lang w:val="en-US" w:eastAsia="da-DK"/>
        </w:rPr>
        <w:t xml:space="preserve"> "floating</w:t>
      </w:r>
      <w:r w:rsidRPr="00BC41DD">
        <w:rPr>
          <w:rFonts w:eastAsia="Times New Roman" w:cs="Times New Roman"/>
          <w:szCs w:val="18"/>
          <w:lang w:val="en-US" w:eastAsia="da-DK"/>
        </w:rPr>
        <w:t xml:space="preserve">" and it can thus comprise assets owned by the company as well as future acquisitions. However, the charge does not prevent assets from being released from the </w:t>
      </w:r>
      <w:r>
        <w:rPr>
          <w:rFonts w:eastAsia="Times New Roman" w:cs="Times New Roman"/>
          <w:szCs w:val="18"/>
          <w:lang w:val="en-US" w:eastAsia="da-DK"/>
        </w:rPr>
        <w:t>floating charge</w:t>
      </w:r>
      <w:r w:rsidRPr="00BC41DD">
        <w:rPr>
          <w:rFonts w:eastAsia="Times New Roman" w:cs="Times New Roman"/>
          <w:szCs w:val="18"/>
          <w:lang w:val="en-US" w:eastAsia="da-DK"/>
        </w:rPr>
        <w:t xml:space="preserve"> as long as the release takes place in the course of the regular operation of the company. If the release of assets is not part of the regular operation of the company, the assets sold </w:t>
      </w:r>
      <w:r>
        <w:rPr>
          <w:rFonts w:eastAsia="Times New Roman" w:cs="Times New Roman"/>
          <w:szCs w:val="18"/>
          <w:lang w:val="en-US" w:eastAsia="da-DK"/>
        </w:rPr>
        <w:t>will</w:t>
      </w:r>
      <w:r w:rsidRPr="00BC41DD">
        <w:rPr>
          <w:rFonts w:eastAsia="Times New Roman" w:cs="Times New Roman"/>
          <w:szCs w:val="18"/>
          <w:lang w:val="en-US" w:eastAsia="da-DK"/>
        </w:rPr>
        <w:t xml:space="preserve"> be deemed unreleased from the </w:t>
      </w:r>
      <w:r>
        <w:rPr>
          <w:rFonts w:eastAsia="Times New Roman" w:cs="Times New Roman"/>
          <w:szCs w:val="18"/>
          <w:lang w:val="en-US" w:eastAsia="da-DK"/>
        </w:rPr>
        <w:t>floating charge</w:t>
      </w:r>
      <w:r w:rsidRPr="00BC41DD">
        <w:rPr>
          <w:rFonts w:eastAsia="Times New Roman" w:cs="Times New Roman"/>
          <w:szCs w:val="18"/>
          <w:lang w:val="en-US" w:eastAsia="da-DK"/>
        </w:rPr>
        <w:t xml:space="preserve"> </w:t>
      </w:r>
      <w:r>
        <w:rPr>
          <w:rFonts w:eastAsia="Times New Roman" w:cs="Times New Roman"/>
          <w:szCs w:val="18"/>
          <w:lang w:val="en-US" w:eastAsia="da-DK"/>
        </w:rPr>
        <w:t>and the charge can</w:t>
      </w:r>
      <w:r w:rsidRPr="00BC41DD">
        <w:rPr>
          <w:rFonts w:eastAsia="Times New Roman" w:cs="Times New Roman"/>
          <w:szCs w:val="18"/>
          <w:lang w:val="en-US" w:eastAsia="da-DK"/>
        </w:rPr>
        <w:t xml:space="preserve"> still be claimed by the security taker - also in relation to a </w:t>
      </w:r>
      <w:r w:rsidRPr="002C2C5B">
        <w:rPr>
          <w:rFonts w:eastAsia="Times New Roman" w:cs="Times New Roman"/>
          <w:i/>
          <w:szCs w:val="18"/>
          <w:lang w:val="en-US" w:eastAsia="da-DK"/>
        </w:rPr>
        <w:t>bona fide</w:t>
      </w:r>
      <w:r w:rsidRPr="00BC41DD">
        <w:rPr>
          <w:rFonts w:eastAsia="Times New Roman" w:cs="Times New Roman"/>
          <w:szCs w:val="18"/>
          <w:lang w:val="en-US" w:eastAsia="da-DK"/>
        </w:rPr>
        <w:t xml:space="preserve"> purchaser. It is in this regard relevant to consider whether the IPR can be categorized as a current asset or a fixed asset (often, an IPR is a fixed asset). If an IPR is a fixed asset, it will normally not be part of the regular operation of the company to release it. However, if an IPR is categorized as a current asset it will generally be part of the regular operation of the company to release it. </w:t>
      </w:r>
    </w:p>
    <w:p w14:paraId="68173904" w14:textId="77777777" w:rsidR="00CC55B7" w:rsidRPr="00BC41DD" w:rsidRDefault="00CC55B7" w:rsidP="00CC55B7">
      <w:pPr>
        <w:ind w:left="360"/>
        <w:rPr>
          <w:rFonts w:eastAsia="Times New Roman" w:cs="Times New Roman"/>
          <w:szCs w:val="18"/>
          <w:lang w:val="en-US" w:eastAsia="da-DK"/>
        </w:rPr>
      </w:pPr>
    </w:p>
    <w:p w14:paraId="5DF34570" w14:textId="2D0E9F5C" w:rsidR="00CC55B7" w:rsidRDefault="00CC55B7" w:rsidP="00CC55B7">
      <w:pPr>
        <w:ind w:left="360"/>
        <w:rPr>
          <w:rFonts w:eastAsia="Times New Roman" w:cs="Times New Roman"/>
          <w:szCs w:val="18"/>
          <w:lang w:val="en-US" w:eastAsia="da-DK"/>
        </w:rPr>
      </w:pPr>
      <w:r w:rsidRPr="00BC41DD">
        <w:rPr>
          <w:rFonts w:eastAsia="Times New Roman" w:cs="Times New Roman"/>
          <w:szCs w:val="18"/>
          <w:lang w:val="en-US" w:eastAsia="da-DK"/>
        </w:rPr>
        <w:t xml:space="preserve">A </w:t>
      </w:r>
      <w:r>
        <w:rPr>
          <w:rFonts w:eastAsia="Times New Roman" w:cs="Times New Roman"/>
          <w:szCs w:val="18"/>
          <w:lang w:val="en-US" w:eastAsia="da-DK"/>
        </w:rPr>
        <w:t>floating charge</w:t>
      </w:r>
      <w:r w:rsidRPr="00BC41DD">
        <w:rPr>
          <w:rFonts w:eastAsia="Times New Roman" w:cs="Times New Roman"/>
          <w:szCs w:val="18"/>
          <w:lang w:val="en-US" w:eastAsia="da-DK"/>
        </w:rPr>
        <w:t xml:space="preserve"> is "floating" until the security taker "takes possession" of the charge </w:t>
      </w:r>
      <w:r w:rsidRPr="00BC41DD">
        <w:rPr>
          <w:rFonts w:eastAsia="Times New Roman" w:cs="Times New Roman"/>
          <w:i/>
          <w:szCs w:val="18"/>
          <w:lang w:val="en-US" w:eastAsia="da-DK"/>
        </w:rPr>
        <w:t>("</w:t>
      </w:r>
      <w:proofErr w:type="spellStart"/>
      <w:r w:rsidRPr="00BC41DD">
        <w:rPr>
          <w:rFonts w:eastAsia="Times New Roman" w:cs="Times New Roman"/>
          <w:i/>
          <w:szCs w:val="18"/>
          <w:lang w:val="en-US" w:eastAsia="da-DK"/>
        </w:rPr>
        <w:t>tiltræder</w:t>
      </w:r>
      <w:proofErr w:type="spellEnd"/>
      <w:r w:rsidRPr="00BC41DD">
        <w:rPr>
          <w:rFonts w:eastAsia="Times New Roman" w:cs="Times New Roman"/>
          <w:i/>
          <w:szCs w:val="18"/>
          <w:lang w:val="en-US" w:eastAsia="da-DK"/>
        </w:rPr>
        <w:t xml:space="preserve">" </w:t>
      </w:r>
      <w:proofErr w:type="spellStart"/>
      <w:r w:rsidRPr="00BC41DD">
        <w:rPr>
          <w:rFonts w:eastAsia="Times New Roman" w:cs="Times New Roman"/>
          <w:i/>
          <w:szCs w:val="18"/>
          <w:lang w:val="en-US" w:eastAsia="da-DK"/>
        </w:rPr>
        <w:t>pantet</w:t>
      </w:r>
      <w:proofErr w:type="spellEnd"/>
      <w:r w:rsidRPr="00BC41DD">
        <w:rPr>
          <w:rFonts w:eastAsia="Times New Roman" w:cs="Times New Roman"/>
          <w:szCs w:val="18"/>
          <w:lang w:val="en-US" w:eastAsia="da-DK"/>
        </w:rPr>
        <w:t xml:space="preserve">) or if the security provider has defaulted on the underlying </w:t>
      </w:r>
      <w:r>
        <w:rPr>
          <w:rFonts w:eastAsia="Times New Roman" w:cs="Times New Roman"/>
          <w:szCs w:val="18"/>
          <w:lang w:val="en-US" w:eastAsia="da-DK"/>
        </w:rPr>
        <w:t>obligation</w:t>
      </w:r>
      <w:r w:rsidR="00194BAA">
        <w:rPr>
          <w:rFonts w:eastAsia="Times New Roman" w:cs="Times New Roman"/>
          <w:szCs w:val="18"/>
          <w:lang w:val="en-US" w:eastAsia="da-DK"/>
        </w:rPr>
        <w:t xml:space="preserve"> </w:t>
      </w:r>
      <w:r w:rsidRPr="00BC41DD">
        <w:rPr>
          <w:rFonts w:eastAsia="Times New Roman" w:cs="Times New Roman"/>
          <w:szCs w:val="18"/>
          <w:lang w:val="en-US" w:eastAsia="da-DK"/>
        </w:rPr>
        <w:t xml:space="preserve">and/or if insolvency proceedings are commenced against the security provider. At this point in time the charge </w:t>
      </w:r>
      <w:proofErr w:type="spellStart"/>
      <w:r w:rsidR="00194BAA">
        <w:rPr>
          <w:rFonts w:eastAsia="Times New Roman" w:cs="Times New Roman"/>
          <w:szCs w:val="18"/>
          <w:lang w:val="en-US" w:eastAsia="da-DK"/>
        </w:rPr>
        <w:t>crystallises</w:t>
      </w:r>
      <w:proofErr w:type="spellEnd"/>
      <w:r w:rsidR="00194BAA">
        <w:rPr>
          <w:rFonts w:eastAsia="Times New Roman" w:cs="Times New Roman"/>
          <w:szCs w:val="18"/>
          <w:lang w:val="en-US" w:eastAsia="da-DK"/>
        </w:rPr>
        <w:t xml:space="preserve">, </w:t>
      </w:r>
      <w:r w:rsidRPr="00BC41DD">
        <w:rPr>
          <w:rFonts w:eastAsia="Times New Roman" w:cs="Times New Roman"/>
          <w:szCs w:val="18"/>
          <w:lang w:val="en-US" w:eastAsia="da-DK"/>
        </w:rPr>
        <w:t xml:space="preserve">and the assets comprised by the </w:t>
      </w:r>
      <w:r>
        <w:rPr>
          <w:rFonts w:eastAsia="Times New Roman" w:cs="Times New Roman"/>
          <w:szCs w:val="18"/>
          <w:lang w:val="en-US" w:eastAsia="da-DK"/>
        </w:rPr>
        <w:t>floating charge</w:t>
      </w:r>
      <w:r w:rsidRPr="00BC41DD">
        <w:rPr>
          <w:rFonts w:eastAsia="Times New Roman" w:cs="Times New Roman"/>
          <w:szCs w:val="18"/>
          <w:lang w:val="en-US" w:eastAsia="da-DK"/>
        </w:rPr>
        <w:t xml:space="preserve"> are</w:t>
      </w:r>
      <w:r>
        <w:rPr>
          <w:rFonts w:eastAsia="Times New Roman" w:cs="Times New Roman"/>
          <w:szCs w:val="18"/>
          <w:lang w:val="en-US" w:eastAsia="da-DK"/>
        </w:rPr>
        <w:t xml:space="preserve"> thus ascertained. T</w:t>
      </w:r>
      <w:r w:rsidRPr="00BC41DD">
        <w:rPr>
          <w:rFonts w:eastAsia="Times New Roman" w:cs="Times New Roman"/>
          <w:szCs w:val="18"/>
          <w:lang w:val="en-US" w:eastAsia="da-DK"/>
        </w:rPr>
        <w:t xml:space="preserve">he security taker can </w:t>
      </w:r>
      <w:r>
        <w:rPr>
          <w:rFonts w:eastAsia="Times New Roman" w:cs="Times New Roman"/>
          <w:szCs w:val="18"/>
          <w:lang w:val="en-US" w:eastAsia="da-DK"/>
        </w:rPr>
        <w:t xml:space="preserve">then </w:t>
      </w:r>
      <w:r w:rsidRPr="00BC41DD">
        <w:rPr>
          <w:rFonts w:eastAsia="Times New Roman" w:cs="Times New Roman"/>
          <w:szCs w:val="18"/>
          <w:lang w:val="en-US" w:eastAsia="da-DK"/>
        </w:rPr>
        <w:t xml:space="preserve">realize the assets in question.  </w:t>
      </w:r>
    </w:p>
    <w:p w14:paraId="58BBC49C" w14:textId="77777777" w:rsidR="00CC55B7" w:rsidRDefault="00CC55B7" w:rsidP="00CC55B7">
      <w:pPr>
        <w:rPr>
          <w:rFonts w:eastAsia="Times New Roman" w:cs="Times New Roman"/>
          <w:szCs w:val="18"/>
          <w:lang w:val="en-US" w:eastAsia="da-DK"/>
        </w:rPr>
      </w:pPr>
    </w:p>
    <w:p w14:paraId="3672763B" w14:textId="474DB736" w:rsidR="00CC55B7" w:rsidRDefault="00CC55B7" w:rsidP="00CC55B7">
      <w:pPr>
        <w:ind w:left="360"/>
        <w:rPr>
          <w:rFonts w:eastAsia="Times New Roman" w:cs="Times New Roman"/>
          <w:szCs w:val="18"/>
          <w:lang w:val="en-US" w:eastAsia="da-DK"/>
        </w:rPr>
      </w:pPr>
      <w:r>
        <w:rPr>
          <w:rFonts w:eastAsia="Times New Roman" w:cs="Times New Roman"/>
          <w:szCs w:val="18"/>
          <w:lang w:val="en-US" w:eastAsia="da-DK"/>
        </w:rPr>
        <w:t xml:space="preserve">When drawing up the parties' mortgage deed, specific standard conditions must be included before registration in the </w:t>
      </w:r>
      <w:r w:rsidRPr="00BC41DD">
        <w:rPr>
          <w:rFonts w:eastAsia="Times New Roman" w:cs="Times New Roman"/>
          <w:szCs w:val="18"/>
          <w:lang w:val="en-US" w:eastAsia="da-DK"/>
        </w:rPr>
        <w:t>Danish register of marriage contracts, chattel mortgages and declarations of legal incapacity</w:t>
      </w:r>
      <w:r>
        <w:rPr>
          <w:rFonts w:eastAsia="Times New Roman" w:cs="Times New Roman"/>
          <w:szCs w:val="18"/>
          <w:lang w:val="en-US" w:eastAsia="da-DK"/>
        </w:rPr>
        <w:t xml:space="preserve"> pursuant to Danish </w:t>
      </w:r>
      <w:r>
        <w:rPr>
          <w:lang w:val="en-US"/>
        </w:rPr>
        <w:t>Act No. 213 of 15 March 2011</w:t>
      </w:r>
      <w:r w:rsidR="003E42FA">
        <w:rPr>
          <w:lang w:val="en-US"/>
        </w:rPr>
        <w:t xml:space="preserve"> (</w:t>
      </w:r>
      <w:r w:rsidR="003E42FA" w:rsidRPr="0071018C">
        <w:rPr>
          <w:lang w:val="en-US"/>
        </w:rPr>
        <w:t>concern</w:t>
      </w:r>
      <w:r w:rsidR="003E42FA" w:rsidRPr="0071018C">
        <w:rPr>
          <w:lang w:val="en-US"/>
        </w:rPr>
        <w:lastRenderedPageBreak/>
        <w:t xml:space="preserve">ing registration </w:t>
      </w:r>
      <w:r w:rsidR="003E42FA">
        <w:rPr>
          <w:lang w:val="en-US"/>
        </w:rPr>
        <w:t xml:space="preserve">in the </w:t>
      </w:r>
      <w:r w:rsidR="003E42FA" w:rsidRPr="00BC41DD">
        <w:rPr>
          <w:rFonts w:eastAsia="Times New Roman" w:cs="Times New Roman"/>
          <w:szCs w:val="18"/>
          <w:lang w:val="en-US" w:eastAsia="da-DK"/>
        </w:rPr>
        <w:t>Danish register of marriage contracts, chattel mortgages and declarations of legal incapacity</w:t>
      </w:r>
      <w:r w:rsidR="003E42FA">
        <w:rPr>
          <w:rFonts w:eastAsia="Times New Roman" w:cs="Times New Roman"/>
          <w:szCs w:val="18"/>
          <w:lang w:val="en-US" w:eastAsia="da-DK"/>
        </w:rPr>
        <w:t>)</w:t>
      </w:r>
      <w:r>
        <w:rPr>
          <w:lang w:val="en-US"/>
        </w:rPr>
        <w:t>.</w:t>
      </w:r>
      <w:r>
        <w:rPr>
          <w:rFonts w:eastAsia="Times New Roman" w:cs="Times New Roman"/>
          <w:szCs w:val="18"/>
          <w:lang w:val="en-US" w:eastAsia="da-DK"/>
        </w:rPr>
        <w:t xml:space="preserve"> However, besides few exceptions, the standard conditions can be deviated from by mutual agreement between the parties (see also our comments to Question 11). </w:t>
      </w:r>
    </w:p>
    <w:p w14:paraId="602E7BF1" w14:textId="77777777" w:rsidR="00CC55B7" w:rsidRDefault="00CC55B7" w:rsidP="00CC55B7">
      <w:pPr>
        <w:ind w:left="360"/>
        <w:rPr>
          <w:rFonts w:eastAsia="Times New Roman" w:cs="Times New Roman"/>
          <w:szCs w:val="18"/>
          <w:lang w:val="en-US" w:eastAsia="da-DK"/>
        </w:rPr>
      </w:pPr>
    </w:p>
    <w:p w14:paraId="7255A377" w14:textId="26A8FF68" w:rsidR="00CC55B7" w:rsidRPr="00BC41DD" w:rsidRDefault="00CC55B7" w:rsidP="00CC55B7">
      <w:pPr>
        <w:ind w:left="360"/>
        <w:rPr>
          <w:rFonts w:eastAsia="Times New Roman" w:cs="Times New Roman"/>
          <w:szCs w:val="18"/>
          <w:lang w:val="en-US" w:eastAsia="da-DK"/>
        </w:rPr>
      </w:pPr>
      <w:r>
        <w:rPr>
          <w:rFonts w:eastAsia="Times New Roman" w:cs="Times New Roman"/>
          <w:szCs w:val="18"/>
          <w:lang w:val="en-US" w:eastAsia="da-DK"/>
        </w:rPr>
        <w:t xml:space="preserve">Generally, the parties enjoy freedom of contract to a wide extent in relation to the drawing up of the security interest </w:t>
      </w:r>
      <w:r w:rsidR="00DA0B3C">
        <w:rPr>
          <w:rFonts w:eastAsia="Times New Roman" w:cs="Times New Roman"/>
          <w:szCs w:val="18"/>
          <w:lang w:val="en-US" w:eastAsia="da-DK"/>
        </w:rPr>
        <w:t xml:space="preserve">agreement. Such freedom is only </w:t>
      </w:r>
      <w:r>
        <w:rPr>
          <w:rFonts w:eastAsia="Times New Roman" w:cs="Times New Roman"/>
          <w:szCs w:val="18"/>
          <w:lang w:val="en-US" w:eastAsia="da-DK"/>
        </w:rPr>
        <w:t xml:space="preserve">limited by the general rules concerning unfair contracts </w:t>
      </w:r>
      <w:r w:rsidRPr="001B3126">
        <w:rPr>
          <w:lang w:val="en-US"/>
        </w:rPr>
        <w:t xml:space="preserve">and contracts void by public policy (contracts contra </w:t>
      </w:r>
      <w:proofErr w:type="spellStart"/>
      <w:r w:rsidRPr="001B3126">
        <w:rPr>
          <w:lang w:val="en-US"/>
        </w:rPr>
        <w:t>bonos</w:t>
      </w:r>
      <w:proofErr w:type="spellEnd"/>
      <w:r w:rsidRPr="001B3126">
        <w:rPr>
          <w:lang w:val="en-US"/>
        </w:rPr>
        <w:t xml:space="preserve"> mores).</w:t>
      </w:r>
      <w:r>
        <w:rPr>
          <w:lang w:val="en-US"/>
        </w:rPr>
        <w:t xml:space="preserve"> Thus, the parties have wide access to agree on the extent of the security provider's use of the encu</w:t>
      </w:r>
      <w:r w:rsidR="00DA0B3C">
        <w:rPr>
          <w:lang w:val="en-US"/>
        </w:rPr>
        <w:t xml:space="preserve">mbered IPR etc., which will be </w:t>
      </w:r>
      <w:r>
        <w:rPr>
          <w:lang w:val="en-US"/>
        </w:rPr>
        <w:t xml:space="preserve">explained further in the following questions. </w:t>
      </w:r>
    </w:p>
    <w:p w14:paraId="5A6D010B" w14:textId="77777777" w:rsidR="00CC55B7" w:rsidRPr="00BC41DD" w:rsidRDefault="00CC55B7" w:rsidP="00CC55B7">
      <w:pPr>
        <w:ind w:left="360"/>
        <w:rPr>
          <w:rFonts w:eastAsia="Times New Roman" w:cs="Times New Roman"/>
          <w:szCs w:val="18"/>
          <w:lang w:val="en-US" w:eastAsia="da-DK"/>
        </w:rPr>
      </w:pPr>
    </w:p>
    <w:p w14:paraId="22CDE3BB" w14:textId="77777777" w:rsidR="00CC55B7" w:rsidRPr="00BC41DD" w:rsidRDefault="00CC55B7" w:rsidP="00CC55B7">
      <w:pPr>
        <w:ind w:left="360"/>
        <w:rPr>
          <w:rFonts w:eastAsia="Times New Roman" w:cs="Times New Roman"/>
          <w:szCs w:val="18"/>
          <w:lang w:val="en-US" w:eastAsia="da-DK"/>
        </w:rPr>
      </w:pPr>
      <w:r>
        <w:rPr>
          <w:rFonts w:eastAsia="Times New Roman" w:cs="Times New Roman"/>
          <w:szCs w:val="18"/>
          <w:lang w:val="en-US" w:eastAsia="da-DK"/>
        </w:rPr>
        <w:t>T</w:t>
      </w:r>
      <w:r w:rsidRPr="00BC41DD">
        <w:rPr>
          <w:rFonts w:eastAsia="Times New Roman" w:cs="Times New Roman"/>
          <w:szCs w:val="18"/>
          <w:lang w:val="en-US" w:eastAsia="da-DK"/>
        </w:rPr>
        <w:t>he above-mentioned forms of securities can be recorded</w:t>
      </w:r>
      <w:r>
        <w:rPr>
          <w:rFonts w:eastAsia="Times New Roman" w:cs="Times New Roman"/>
          <w:szCs w:val="18"/>
          <w:lang w:val="en-US" w:eastAsia="da-DK"/>
        </w:rPr>
        <w:t xml:space="preserve"> in the trademark, </w:t>
      </w:r>
      <w:r w:rsidRPr="00BC41DD">
        <w:rPr>
          <w:rFonts w:eastAsia="Times New Roman" w:cs="Times New Roman"/>
          <w:szCs w:val="18"/>
          <w:lang w:val="en-US" w:eastAsia="da-DK"/>
        </w:rPr>
        <w:t xml:space="preserve">patent </w:t>
      </w:r>
      <w:r>
        <w:rPr>
          <w:rFonts w:eastAsia="Times New Roman" w:cs="Times New Roman"/>
          <w:szCs w:val="18"/>
          <w:lang w:val="en-US" w:eastAsia="da-DK"/>
        </w:rPr>
        <w:t>or design register</w:t>
      </w:r>
      <w:r w:rsidRPr="00BC41DD">
        <w:rPr>
          <w:rFonts w:eastAsia="Times New Roman" w:cs="Times New Roman"/>
          <w:szCs w:val="18"/>
          <w:lang w:val="en-US" w:eastAsia="da-DK"/>
        </w:rPr>
        <w:t xml:space="preserve"> upon request. However, such record of the security has no binding effect as it is not the adequate act of perfection.  </w:t>
      </w:r>
    </w:p>
    <w:p w14:paraId="4FA64384" w14:textId="77777777" w:rsidR="00CC55B7" w:rsidRPr="00BC41DD" w:rsidRDefault="00CC55B7" w:rsidP="00CC55B7">
      <w:pPr>
        <w:ind w:left="360"/>
        <w:rPr>
          <w:rFonts w:eastAsia="Times New Roman" w:cs="Times New Roman"/>
          <w:szCs w:val="18"/>
          <w:lang w:val="en-US" w:eastAsia="da-DK"/>
        </w:rPr>
      </w:pPr>
    </w:p>
    <w:p w14:paraId="3878FCD7" w14:textId="0C9B72CD" w:rsidR="00CC55B7" w:rsidRPr="00BC41DD" w:rsidRDefault="00CC55B7" w:rsidP="00CC55B7">
      <w:pPr>
        <w:ind w:left="360"/>
        <w:rPr>
          <w:rFonts w:eastAsia="Times New Roman" w:cs="Times New Roman"/>
          <w:szCs w:val="18"/>
          <w:lang w:val="en-US" w:eastAsia="da-DK"/>
        </w:rPr>
      </w:pPr>
      <w:r w:rsidRPr="00BC41DD">
        <w:rPr>
          <w:rFonts w:eastAsia="Times New Roman" w:cs="Times New Roman"/>
          <w:szCs w:val="18"/>
          <w:lang w:val="en-US" w:eastAsia="da-DK"/>
        </w:rPr>
        <w:t>In Denmark, security interests can also be found by way of pledge (</w:t>
      </w:r>
      <w:proofErr w:type="spellStart"/>
      <w:r w:rsidRPr="00BC41DD">
        <w:rPr>
          <w:rFonts w:eastAsia="Times New Roman" w:cs="Times New Roman"/>
          <w:i/>
          <w:szCs w:val="18"/>
          <w:lang w:val="en-US" w:eastAsia="da-DK"/>
        </w:rPr>
        <w:t>håndpant</w:t>
      </w:r>
      <w:proofErr w:type="spellEnd"/>
      <w:r w:rsidRPr="00BC41DD">
        <w:rPr>
          <w:rFonts w:eastAsia="Times New Roman" w:cs="Times New Roman"/>
          <w:szCs w:val="18"/>
          <w:lang w:val="en-US" w:eastAsia="da-DK"/>
        </w:rPr>
        <w:t xml:space="preserve">). However, </w:t>
      </w:r>
      <w:r>
        <w:rPr>
          <w:rFonts w:eastAsia="Times New Roman" w:cs="Times New Roman"/>
          <w:szCs w:val="18"/>
          <w:lang w:val="en-US" w:eastAsia="da-DK"/>
        </w:rPr>
        <w:t xml:space="preserve">a </w:t>
      </w:r>
      <w:r w:rsidRPr="00BC41DD">
        <w:rPr>
          <w:rFonts w:eastAsia="Times New Roman" w:cs="Times New Roman"/>
          <w:szCs w:val="18"/>
          <w:lang w:val="en-US" w:eastAsia="da-DK"/>
        </w:rPr>
        <w:t>pledge</w:t>
      </w:r>
      <w:r>
        <w:rPr>
          <w:rFonts w:eastAsia="Times New Roman" w:cs="Times New Roman"/>
          <w:szCs w:val="18"/>
          <w:lang w:val="en-US" w:eastAsia="da-DK"/>
        </w:rPr>
        <w:t xml:space="preserve"> in</w:t>
      </w:r>
      <w:r w:rsidRPr="00BC41DD">
        <w:rPr>
          <w:rFonts w:eastAsia="Times New Roman" w:cs="Times New Roman"/>
          <w:szCs w:val="18"/>
          <w:lang w:val="en-US" w:eastAsia="da-DK"/>
        </w:rPr>
        <w:t xml:space="preserve"> an IPR is rarely relevant</w:t>
      </w:r>
      <w:r>
        <w:rPr>
          <w:rFonts w:eastAsia="Times New Roman" w:cs="Times New Roman"/>
          <w:szCs w:val="18"/>
          <w:lang w:val="en-US" w:eastAsia="da-DK"/>
        </w:rPr>
        <w:t xml:space="preserve"> since </w:t>
      </w:r>
      <w:r w:rsidRPr="00BC41DD">
        <w:rPr>
          <w:rFonts w:eastAsia="Times New Roman" w:cs="Times New Roman"/>
          <w:szCs w:val="18"/>
          <w:lang w:val="en-US" w:eastAsia="da-DK"/>
        </w:rPr>
        <w:t xml:space="preserve">the relevant act of perfection is dispossession. Actual copies of works protected by intellectual property rights can be pledged. </w:t>
      </w:r>
      <w:r>
        <w:rPr>
          <w:rFonts w:eastAsia="Times New Roman" w:cs="Times New Roman"/>
          <w:szCs w:val="18"/>
          <w:lang w:val="en-US" w:eastAsia="da-DK"/>
        </w:rPr>
        <w:t xml:space="preserve">It </w:t>
      </w:r>
      <w:r w:rsidRPr="00BC41DD">
        <w:rPr>
          <w:rFonts w:eastAsia="Times New Roman" w:cs="Times New Roman"/>
          <w:szCs w:val="18"/>
          <w:lang w:val="en-US" w:eastAsia="da-DK"/>
        </w:rPr>
        <w:t>is</w:t>
      </w:r>
      <w:r>
        <w:rPr>
          <w:rFonts w:eastAsia="Times New Roman" w:cs="Times New Roman"/>
          <w:szCs w:val="18"/>
          <w:lang w:val="en-US" w:eastAsia="da-DK"/>
        </w:rPr>
        <w:t xml:space="preserve"> also</w:t>
      </w:r>
      <w:r w:rsidRPr="00BC41DD">
        <w:rPr>
          <w:rFonts w:eastAsia="Times New Roman" w:cs="Times New Roman"/>
          <w:szCs w:val="18"/>
          <w:lang w:val="en-US" w:eastAsia="da-DK"/>
        </w:rPr>
        <w:t xml:space="preserve"> possible to pledge derivative rights of the IPR</w:t>
      </w:r>
      <w:r>
        <w:rPr>
          <w:rFonts w:eastAsia="Times New Roman" w:cs="Times New Roman"/>
          <w:szCs w:val="18"/>
          <w:lang w:val="en-US" w:eastAsia="da-DK"/>
        </w:rPr>
        <w:t>,</w:t>
      </w:r>
      <w:r w:rsidRPr="00BC41DD">
        <w:rPr>
          <w:rFonts w:eastAsia="Times New Roman" w:cs="Times New Roman"/>
          <w:szCs w:val="18"/>
          <w:lang w:val="en-US" w:eastAsia="da-DK"/>
        </w:rPr>
        <w:t xml:space="preserve"> e.g. revenues from the IPR. </w:t>
      </w:r>
      <w:r>
        <w:rPr>
          <w:rFonts w:eastAsia="Times New Roman" w:cs="Times New Roman"/>
          <w:szCs w:val="18"/>
          <w:lang w:val="en-US" w:eastAsia="da-DK"/>
        </w:rPr>
        <w:t>In that case</w:t>
      </w:r>
      <w:r w:rsidRPr="00BC41DD">
        <w:rPr>
          <w:rFonts w:eastAsia="Times New Roman" w:cs="Times New Roman"/>
          <w:szCs w:val="18"/>
          <w:lang w:val="en-US" w:eastAsia="da-DK"/>
        </w:rPr>
        <w:t xml:space="preserve"> it will be categorized as a pledged claim (</w:t>
      </w:r>
      <w:proofErr w:type="spellStart"/>
      <w:r w:rsidRPr="00BC41DD">
        <w:rPr>
          <w:rFonts w:eastAsia="Times New Roman" w:cs="Times New Roman"/>
          <w:i/>
          <w:szCs w:val="18"/>
          <w:lang w:val="en-US" w:eastAsia="da-DK"/>
        </w:rPr>
        <w:t>håndpant</w:t>
      </w:r>
      <w:proofErr w:type="spellEnd"/>
      <w:r w:rsidRPr="00BC41DD">
        <w:rPr>
          <w:rFonts w:eastAsia="Times New Roman" w:cs="Times New Roman"/>
          <w:i/>
          <w:szCs w:val="18"/>
          <w:lang w:val="en-US" w:eastAsia="da-DK"/>
        </w:rPr>
        <w:t xml:space="preserve"> </w:t>
      </w:r>
      <w:proofErr w:type="spellStart"/>
      <w:r w:rsidRPr="00BC41DD">
        <w:rPr>
          <w:rFonts w:eastAsia="Times New Roman" w:cs="Times New Roman"/>
          <w:i/>
          <w:szCs w:val="18"/>
          <w:lang w:val="en-US" w:eastAsia="da-DK"/>
        </w:rPr>
        <w:t>i</w:t>
      </w:r>
      <w:proofErr w:type="spellEnd"/>
      <w:r w:rsidRPr="00BC41DD">
        <w:rPr>
          <w:rFonts w:eastAsia="Times New Roman" w:cs="Times New Roman"/>
          <w:i/>
          <w:szCs w:val="18"/>
          <w:lang w:val="en-US" w:eastAsia="da-DK"/>
        </w:rPr>
        <w:t xml:space="preserve"> </w:t>
      </w:r>
      <w:proofErr w:type="spellStart"/>
      <w:r w:rsidRPr="00BC41DD">
        <w:rPr>
          <w:rFonts w:eastAsia="Times New Roman" w:cs="Times New Roman"/>
          <w:i/>
          <w:szCs w:val="18"/>
          <w:lang w:val="en-US" w:eastAsia="da-DK"/>
        </w:rPr>
        <w:t>en</w:t>
      </w:r>
      <w:proofErr w:type="spellEnd"/>
      <w:r w:rsidRPr="00BC41DD">
        <w:rPr>
          <w:rFonts w:eastAsia="Times New Roman" w:cs="Times New Roman"/>
          <w:i/>
          <w:szCs w:val="18"/>
          <w:lang w:val="en-US" w:eastAsia="da-DK"/>
        </w:rPr>
        <w:t xml:space="preserve"> </w:t>
      </w:r>
      <w:proofErr w:type="spellStart"/>
      <w:r w:rsidRPr="00BC41DD">
        <w:rPr>
          <w:rFonts w:eastAsia="Times New Roman" w:cs="Times New Roman"/>
          <w:i/>
          <w:szCs w:val="18"/>
          <w:lang w:val="en-US" w:eastAsia="da-DK"/>
        </w:rPr>
        <w:t>fordring</w:t>
      </w:r>
      <w:proofErr w:type="spellEnd"/>
      <w:r w:rsidRPr="00BC41DD">
        <w:rPr>
          <w:rFonts w:eastAsia="Times New Roman" w:cs="Times New Roman"/>
          <w:szCs w:val="18"/>
          <w:lang w:val="en-US" w:eastAsia="da-DK"/>
        </w:rPr>
        <w:t>)</w:t>
      </w:r>
      <w:r>
        <w:rPr>
          <w:rFonts w:eastAsia="Times New Roman" w:cs="Times New Roman"/>
          <w:szCs w:val="18"/>
          <w:lang w:val="en-US" w:eastAsia="da-DK"/>
        </w:rPr>
        <w:t xml:space="preserve"> for</w:t>
      </w:r>
      <w:r w:rsidRPr="00BC41DD">
        <w:rPr>
          <w:rFonts w:eastAsia="Times New Roman" w:cs="Times New Roman"/>
          <w:szCs w:val="18"/>
          <w:lang w:val="en-US" w:eastAsia="da-DK"/>
        </w:rPr>
        <w:t xml:space="preserve"> which the</w:t>
      </w:r>
      <w:r>
        <w:rPr>
          <w:rFonts w:eastAsia="Times New Roman" w:cs="Times New Roman"/>
          <w:szCs w:val="18"/>
          <w:lang w:val="en-US" w:eastAsia="da-DK"/>
        </w:rPr>
        <w:t xml:space="preserve"> relevant act of perfection is</w:t>
      </w:r>
      <w:r w:rsidRPr="00BC41DD">
        <w:rPr>
          <w:rFonts w:eastAsia="Times New Roman" w:cs="Times New Roman"/>
          <w:szCs w:val="18"/>
          <w:lang w:val="en-US" w:eastAsia="da-DK"/>
        </w:rPr>
        <w:t xml:space="preserve"> notification of assignment pursuant to </w:t>
      </w:r>
      <w:r>
        <w:rPr>
          <w:rFonts w:eastAsia="Times New Roman" w:cs="Times New Roman"/>
          <w:szCs w:val="18"/>
          <w:lang w:val="en-US" w:eastAsia="da-DK"/>
        </w:rPr>
        <w:t>s</w:t>
      </w:r>
      <w:r w:rsidRPr="00BC41DD">
        <w:rPr>
          <w:rFonts w:eastAsia="Times New Roman" w:cs="Times New Roman"/>
          <w:szCs w:val="18"/>
          <w:lang w:val="en-US" w:eastAsia="da-DK"/>
        </w:rPr>
        <w:t xml:space="preserve">ection 31 of the Danish Debt Instruments Act. </w:t>
      </w:r>
      <w:r>
        <w:rPr>
          <w:rFonts w:eastAsia="Times New Roman" w:cs="Times New Roman"/>
          <w:szCs w:val="18"/>
          <w:lang w:val="en-US" w:eastAsia="da-DK"/>
        </w:rPr>
        <w:t>Since pledge of IPRs is not in practice relevant, t</w:t>
      </w:r>
      <w:r w:rsidRPr="00BC41DD">
        <w:rPr>
          <w:rFonts w:eastAsia="Times New Roman" w:cs="Times New Roman"/>
          <w:szCs w:val="18"/>
          <w:lang w:val="en-US" w:eastAsia="da-DK"/>
        </w:rPr>
        <w:t xml:space="preserve">he </w:t>
      </w:r>
      <w:r>
        <w:rPr>
          <w:rFonts w:eastAsia="Times New Roman" w:cs="Times New Roman"/>
          <w:szCs w:val="18"/>
          <w:lang w:val="en-US" w:eastAsia="da-DK"/>
        </w:rPr>
        <w:t>answers to the</w:t>
      </w:r>
      <w:r w:rsidRPr="00BC41DD">
        <w:rPr>
          <w:rFonts w:eastAsia="Times New Roman" w:cs="Times New Roman"/>
          <w:szCs w:val="18"/>
          <w:lang w:val="en-US" w:eastAsia="da-DK"/>
        </w:rPr>
        <w:t xml:space="preserve"> Study Question will in the following focus on </w:t>
      </w:r>
      <w:r>
        <w:rPr>
          <w:rFonts w:eastAsia="Times New Roman" w:cs="Times New Roman"/>
          <w:szCs w:val="18"/>
          <w:lang w:val="en-US" w:eastAsia="da-DK"/>
        </w:rPr>
        <w:t>fixed charge</w:t>
      </w:r>
      <w:r w:rsidR="00DA0B3C">
        <w:rPr>
          <w:rFonts w:eastAsia="Times New Roman" w:cs="Times New Roman"/>
          <w:szCs w:val="18"/>
          <w:lang w:val="en-US" w:eastAsia="da-DK"/>
        </w:rPr>
        <w:t>s</w:t>
      </w:r>
      <w:r w:rsidRPr="00BC41DD">
        <w:rPr>
          <w:rFonts w:eastAsia="Times New Roman" w:cs="Times New Roman"/>
          <w:szCs w:val="18"/>
          <w:lang w:val="en-US" w:eastAsia="da-DK"/>
        </w:rPr>
        <w:t xml:space="preserve"> and </w:t>
      </w:r>
      <w:r>
        <w:rPr>
          <w:rFonts w:eastAsia="Times New Roman" w:cs="Times New Roman"/>
          <w:szCs w:val="18"/>
          <w:lang w:val="en-US" w:eastAsia="da-DK"/>
        </w:rPr>
        <w:t>floating charge</w:t>
      </w:r>
      <w:r w:rsidR="00DA0B3C">
        <w:rPr>
          <w:rFonts w:eastAsia="Times New Roman" w:cs="Times New Roman"/>
          <w:szCs w:val="18"/>
          <w:lang w:val="en-US" w:eastAsia="da-DK"/>
        </w:rPr>
        <w:t>s</w:t>
      </w:r>
      <w:r w:rsidRPr="00BC41DD">
        <w:rPr>
          <w:rFonts w:eastAsia="Times New Roman" w:cs="Times New Roman"/>
          <w:szCs w:val="18"/>
          <w:lang w:val="en-US" w:eastAsia="da-DK"/>
        </w:rPr>
        <w:t xml:space="preserve">. </w:t>
      </w:r>
    </w:p>
    <w:p w14:paraId="14888E70" w14:textId="77777777" w:rsidR="00CC55B7" w:rsidRPr="00797E28" w:rsidRDefault="00CC55B7" w:rsidP="00CC55B7">
      <w:pPr>
        <w:rPr>
          <w:rFonts w:eastAsia="Times New Roman" w:cs="Times New Roman"/>
          <w:color w:val="FF0000"/>
          <w:szCs w:val="18"/>
          <w:lang w:val="en-US" w:eastAsia="da-DK"/>
        </w:rPr>
      </w:pPr>
    </w:p>
    <w:p w14:paraId="55CD195B" w14:textId="77777777" w:rsidR="00CC55B7" w:rsidRPr="00BC41DD" w:rsidRDefault="00CC55B7" w:rsidP="00CC55B7">
      <w:pPr>
        <w:pStyle w:val="ListParagraph"/>
        <w:numPr>
          <w:ilvl w:val="0"/>
          <w:numId w:val="47"/>
        </w:numPr>
        <w:jc w:val="left"/>
        <w:rPr>
          <w:rFonts w:eastAsia="Times New Roman" w:cs="Times New Roman"/>
          <w:b/>
          <w:color w:val="000000"/>
          <w:szCs w:val="18"/>
          <w:lang w:val="en-US" w:eastAsia="da-DK"/>
        </w:rPr>
      </w:pPr>
      <w:r w:rsidRPr="00BC41DD">
        <w:rPr>
          <w:rFonts w:eastAsia="Times New Roman" w:cs="Times New Roman"/>
          <w:b/>
          <w:color w:val="000000"/>
          <w:szCs w:val="18"/>
          <w:lang w:val="en-US" w:eastAsia="da-DK"/>
        </w:rPr>
        <w:t>Does your law provide for security interests which are characterized by the full assignment of the underlying IPR to the security taker? For example, an assignment of the IPR for the purpose of security or authorization to dispose/use fully in the event of default.</w:t>
      </w:r>
    </w:p>
    <w:p w14:paraId="38529A84" w14:textId="77777777" w:rsidR="00CC55B7" w:rsidRPr="00AE484F" w:rsidRDefault="00CC55B7" w:rsidP="00CC55B7">
      <w:pPr>
        <w:pStyle w:val="ListParagraph"/>
        <w:ind w:left="1287"/>
        <w:jc w:val="left"/>
        <w:rPr>
          <w:rFonts w:eastAsia="Times New Roman" w:cs="Times New Roman"/>
          <w:color w:val="000000"/>
          <w:szCs w:val="18"/>
          <w:lang w:val="en-US" w:eastAsia="da-DK"/>
        </w:rPr>
      </w:pPr>
    </w:p>
    <w:p w14:paraId="53FE875A" w14:textId="77777777" w:rsidR="00CC55B7" w:rsidRPr="00BC41DD" w:rsidRDefault="00CC55B7" w:rsidP="00CC55B7">
      <w:pPr>
        <w:pStyle w:val="ListParagraph"/>
        <w:ind w:left="1287"/>
        <w:jc w:val="left"/>
        <w:rPr>
          <w:rFonts w:eastAsia="Times New Roman" w:cs="Times New Roman"/>
          <w:szCs w:val="18"/>
          <w:lang w:val="en-US" w:eastAsia="da-DK"/>
        </w:rPr>
      </w:pPr>
      <w:r w:rsidRPr="00BC41DD">
        <w:rPr>
          <w:rFonts w:eastAsia="Times New Roman" w:cs="Times New Roman"/>
          <w:szCs w:val="18"/>
          <w:lang w:val="en-US" w:eastAsia="da-DK"/>
        </w:rPr>
        <w:t xml:space="preserve">No. Neither a </w:t>
      </w:r>
      <w:r>
        <w:rPr>
          <w:rFonts w:eastAsia="Times New Roman" w:cs="Times New Roman"/>
          <w:szCs w:val="18"/>
          <w:lang w:val="en-US" w:eastAsia="da-DK"/>
        </w:rPr>
        <w:t>fixed charge</w:t>
      </w:r>
      <w:r w:rsidRPr="00BC41DD">
        <w:rPr>
          <w:rFonts w:eastAsia="Times New Roman" w:cs="Times New Roman"/>
          <w:szCs w:val="18"/>
          <w:lang w:val="en-US" w:eastAsia="da-DK"/>
        </w:rPr>
        <w:t xml:space="preserve"> nor a </w:t>
      </w:r>
      <w:r>
        <w:rPr>
          <w:rFonts w:eastAsia="Times New Roman" w:cs="Times New Roman"/>
          <w:szCs w:val="18"/>
          <w:lang w:val="en-US" w:eastAsia="da-DK"/>
        </w:rPr>
        <w:t>floating charge</w:t>
      </w:r>
      <w:r w:rsidRPr="00BC41DD">
        <w:rPr>
          <w:rFonts w:eastAsia="Times New Roman" w:cs="Times New Roman"/>
          <w:szCs w:val="18"/>
          <w:lang w:val="en-US" w:eastAsia="da-DK"/>
        </w:rPr>
        <w:t xml:space="preserve"> is characterized by the full assignment of the underlying IPR. </w:t>
      </w:r>
    </w:p>
    <w:p w14:paraId="669B79E2" w14:textId="77777777" w:rsidR="00CC55B7" w:rsidRPr="00BC41DD" w:rsidRDefault="00CC55B7" w:rsidP="00CC55B7">
      <w:pPr>
        <w:jc w:val="left"/>
        <w:rPr>
          <w:rFonts w:eastAsia="Times New Roman" w:cs="Times New Roman"/>
          <w:b/>
          <w:color w:val="000000"/>
          <w:szCs w:val="18"/>
          <w:lang w:val="en-US" w:eastAsia="da-DK"/>
        </w:rPr>
      </w:pPr>
    </w:p>
    <w:p w14:paraId="759FCC68" w14:textId="77777777" w:rsidR="00CC55B7" w:rsidRPr="00BC41DD" w:rsidRDefault="00CC55B7" w:rsidP="00CC55B7">
      <w:pPr>
        <w:pStyle w:val="ListParagraph"/>
        <w:numPr>
          <w:ilvl w:val="0"/>
          <w:numId w:val="47"/>
        </w:numPr>
        <w:jc w:val="left"/>
        <w:rPr>
          <w:rFonts w:eastAsia="Times New Roman" w:cs="Times New Roman"/>
          <w:b/>
          <w:color w:val="000000"/>
          <w:szCs w:val="18"/>
          <w:lang w:val="en-US" w:eastAsia="da-DK"/>
        </w:rPr>
      </w:pPr>
      <w:r w:rsidRPr="00BC41DD">
        <w:rPr>
          <w:rFonts w:eastAsia="Times New Roman" w:cs="Times New Roman"/>
          <w:b/>
          <w:color w:val="000000"/>
          <w:szCs w:val="18"/>
          <w:lang w:val="en-US" w:eastAsia="da-DK"/>
        </w:rPr>
        <w:t xml:space="preserve">Does your law provide for security interests that authorize the security taker to realize the security interest only in the event of default? For example, a pledge over an IPR that authorizes the </w:t>
      </w:r>
      <w:r>
        <w:rPr>
          <w:rFonts w:eastAsia="Times New Roman" w:cs="Times New Roman"/>
          <w:b/>
          <w:color w:val="000000"/>
          <w:szCs w:val="18"/>
          <w:lang w:val="en-US" w:eastAsia="da-DK"/>
        </w:rPr>
        <w:t>pledgee to liquidate the pledged</w:t>
      </w:r>
      <w:r w:rsidRPr="00BC41DD">
        <w:rPr>
          <w:rFonts w:eastAsia="Times New Roman" w:cs="Times New Roman"/>
          <w:b/>
          <w:color w:val="000000"/>
          <w:szCs w:val="18"/>
          <w:lang w:val="en-US" w:eastAsia="da-DK"/>
        </w:rPr>
        <w:t xml:space="preserve"> IPR in the event of default (but not to otherwise dispose of the IPR)</w:t>
      </w:r>
    </w:p>
    <w:p w14:paraId="0E71B4E9" w14:textId="77777777" w:rsidR="00CC55B7" w:rsidRPr="00B0533B" w:rsidRDefault="00CC55B7" w:rsidP="00CC55B7">
      <w:pPr>
        <w:ind w:left="1287"/>
        <w:jc w:val="left"/>
        <w:rPr>
          <w:rFonts w:eastAsia="Times New Roman" w:cs="Times New Roman"/>
          <w:color w:val="FF0000"/>
          <w:szCs w:val="18"/>
          <w:lang w:val="en-US" w:eastAsia="da-DK"/>
        </w:rPr>
      </w:pPr>
    </w:p>
    <w:p w14:paraId="3B35FD53" w14:textId="77777777" w:rsidR="00CC55B7" w:rsidRPr="00BC41DD" w:rsidRDefault="00CC55B7" w:rsidP="00CC55B7">
      <w:pPr>
        <w:ind w:left="1287"/>
        <w:jc w:val="left"/>
        <w:rPr>
          <w:rFonts w:eastAsia="Times New Roman" w:cs="Times New Roman"/>
          <w:szCs w:val="18"/>
          <w:lang w:val="en-US" w:eastAsia="da-DK"/>
        </w:rPr>
      </w:pPr>
      <w:r w:rsidRPr="00BC41DD">
        <w:rPr>
          <w:rFonts w:eastAsia="Times New Roman" w:cs="Times New Roman"/>
          <w:szCs w:val="18"/>
          <w:lang w:val="en-US" w:eastAsia="da-DK"/>
        </w:rPr>
        <w:t xml:space="preserve">Yes, it is only in the event of default that the security taker can realize the security interest.  </w:t>
      </w:r>
    </w:p>
    <w:p w14:paraId="21443936" w14:textId="77777777" w:rsidR="00CC55B7" w:rsidRDefault="00CC55B7" w:rsidP="00CC55B7">
      <w:pPr>
        <w:ind w:left="1287"/>
        <w:jc w:val="left"/>
        <w:rPr>
          <w:rFonts w:eastAsia="Times New Roman" w:cs="Times New Roman"/>
          <w:color w:val="FF0000"/>
          <w:szCs w:val="18"/>
          <w:lang w:val="en-US" w:eastAsia="da-DK"/>
        </w:rPr>
      </w:pPr>
    </w:p>
    <w:p w14:paraId="5153A136" w14:textId="77777777" w:rsidR="00CC55B7" w:rsidRPr="00BC41DD" w:rsidRDefault="00CC55B7" w:rsidP="00CC55B7">
      <w:pPr>
        <w:pStyle w:val="ListParagraph"/>
        <w:numPr>
          <w:ilvl w:val="0"/>
          <w:numId w:val="47"/>
        </w:numPr>
        <w:jc w:val="left"/>
        <w:rPr>
          <w:rFonts w:eastAsia="Times New Roman" w:cs="Times New Roman"/>
          <w:b/>
          <w:szCs w:val="18"/>
          <w:lang w:val="en-US" w:eastAsia="da-DK"/>
        </w:rPr>
      </w:pPr>
      <w:r w:rsidRPr="00BC41DD">
        <w:rPr>
          <w:rFonts w:eastAsia="Times New Roman" w:cs="Times New Roman"/>
          <w:b/>
          <w:color w:val="000000"/>
          <w:szCs w:val="18"/>
          <w:lang w:val="en-US" w:eastAsia="da-DK"/>
        </w:rPr>
        <w:t xml:space="preserve">Does your law provide for security interests that authorize the security taker to use the underlying IPR? For example, </w:t>
      </w:r>
      <w:proofErr w:type="spellStart"/>
      <w:r w:rsidRPr="00BC41DD">
        <w:rPr>
          <w:rFonts w:eastAsia="Times New Roman" w:cs="Times New Roman"/>
          <w:b/>
          <w:i/>
          <w:color w:val="000000"/>
          <w:szCs w:val="18"/>
          <w:lang w:val="en-US" w:eastAsia="da-DK"/>
        </w:rPr>
        <w:t>usus</w:t>
      </w:r>
      <w:proofErr w:type="spellEnd"/>
      <w:r w:rsidRPr="00BC41DD">
        <w:rPr>
          <w:rFonts w:eastAsia="Times New Roman" w:cs="Times New Roman"/>
          <w:b/>
          <w:i/>
          <w:color w:val="000000"/>
          <w:szCs w:val="18"/>
          <w:lang w:val="en-US" w:eastAsia="da-DK"/>
        </w:rPr>
        <w:t xml:space="preserve"> </w:t>
      </w:r>
      <w:proofErr w:type="spellStart"/>
      <w:r w:rsidRPr="00BC41DD">
        <w:rPr>
          <w:rFonts w:eastAsia="Times New Roman" w:cs="Times New Roman"/>
          <w:b/>
          <w:i/>
          <w:color w:val="000000"/>
          <w:szCs w:val="18"/>
          <w:lang w:val="en-US" w:eastAsia="da-DK"/>
        </w:rPr>
        <w:t>fructus</w:t>
      </w:r>
      <w:proofErr w:type="spellEnd"/>
      <w:r w:rsidRPr="00BC41DD">
        <w:rPr>
          <w:rFonts w:eastAsia="Times New Roman" w:cs="Times New Roman"/>
          <w:b/>
          <w:color w:val="000000"/>
          <w:szCs w:val="18"/>
          <w:lang w:val="en-US" w:eastAsia="da-DK"/>
        </w:rPr>
        <w:t xml:space="preserve"> rights that authorize the creditor to use and/or realize proceeds from the exercise of the IPR only during the term of encumbrance. Is any right to use the encumbered IPR conditional upon default of the security provider?</w:t>
      </w:r>
    </w:p>
    <w:p w14:paraId="105C713B" w14:textId="77777777" w:rsidR="00CC55B7" w:rsidRPr="00B0533B" w:rsidRDefault="00CC55B7" w:rsidP="00CC55B7">
      <w:pPr>
        <w:pStyle w:val="ListParagraph"/>
        <w:ind w:left="1287"/>
        <w:jc w:val="left"/>
        <w:rPr>
          <w:rFonts w:eastAsia="Times New Roman" w:cs="Times New Roman"/>
          <w:color w:val="FF0000"/>
          <w:szCs w:val="18"/>
          <w:lang w:val="en-US" w:eastAsia="da-DK"/>
        </w:rPr>
      </w:pPr>
    </w:p>
    <w:p w14:paraId="4570AB64" w14:textId="77777777" w:rsidR="00CC55B7" w:rsidRPr="00BC41DD" w:rsidRDefault="00CC55B7" w:rsidP="00CC55B7">
      <w:pPr>
        <w:pStyle w:val="ListParagraph"/>
        <w:ind w:left="1287"/>
        <w:jc w:val="left"/>
        <w:rPr>
          <w:rFonts w:eastAsia="Times New Roman" w:cs="Times New Roman"/>
          <w:szCs w:val="18"/>
          <w:lang w:val="en-US" w:eastAsia="da-DK"/>
        </w:rPr>
      </w:pPr>
      <w:r w:rsidRPr="00BC41DD">
        <w:rPr>
          <w:rFonts w:eastAsia="Times New Roman" w:cs="Times New Roman"/>
          <w:szCs w:val="18"/>
          <w:lang w:val="en-US" w:eastAsia="da-DK"/>
        </w:rPr>
        <w:t xml:space="preserve">No, the security taker cannot use the </w:t>
      </w:r>
      <w:r>
        <w:rPr>
          <w:rFonts w:eastAsia="Times New Roman" w:cs="Times New Roman"/>
          <w:szCs w:val="18"/>
          <w:lang w:val="en-US" w:eastAsia="da-DK"/>
        </w:rPr>
        <w:t>encumbered</w:t>
      </w:r>
      <w:r w:rsidRPr="00BC41DD">
        <w:rPr>
          <w:rFonts w:eastAsia="Times New Roman" w:cs="Times New Roman"/>
          <w:szCs w:val="18"/>
          <w:lang w:val="en-US" w:eastAsia="da-DK"/>
        </w:rPr>
        <w:t xml:space="preserve"> IPR unless otherwise agreed</w:t>
      </w:r>
      <w:r>
        <w:rPr>
          <w:rFonts w:eastAsia="Times New Roman" w:cs="Times New Roman"/>
          <w:szCs w:val="18"/>
          <w:lang w:val="en-US" w:eastAsia="da-DK"/>
        </w:rPr>
        <w:t xml:space="preserve"> (cf. the parties’ freedom of contract, see our comments above)</w:t>
      </w:r>
      <w:r w:rsidRPr="00BC41DD">
        <w:rPr>
          <w:rFonts w:eastAsia="Times New Roman" w:cs="Times New Roman"/>
          <w:szCs w:val="18"/>
          <w:lang w:val="en-US" w:eastAsia="da-DK"/>
        </w:rPr>
        <w:t xml:space="preserve">. </w:t>
      </w:r>
    </w:p>
    <w:p w14:paraId="0E6BF5B2" w14:textId="77777777" w:rsidR="00CC55B7" w:rsidRPr="00702F83" w:rsidRDefault="00CC55B7" w:rsidP="00CC55B7">
      <w:pPr>
        <w:rPr>
          <w:rFonts w:eastAsia="Times New Roman" w:cs="Times New Roman"/>
          <w:color w:val="FF0000"/>
          <w:szCs w:val="18"/>
          <w:lang w:val="en-US" w:eastAsia="da-DK"/>
        </w:rPr>
      </w:pPr>
    </w:p>
    <w:p w14:paraId="5EBD6363" w14:textId="77777777" w:rsidR="00CC55B7" w:rsidRPr="00BC41DD" w:rsidRDefault="00CC55B7" w:rsidP="00CC55B7">
      <w:pPr>
        <w:pStyle w:val="ListParagraph"/>
        <w:numPr>
          <w:ilvl w:val="0"/>
          <w:numId w:val="49"/>
        </w:numPr>
        <w:rPr>
          <w:rFonts w:eastAsia="Times New Roman" w:cs="Times New Roman"/>
          <w:b/>
          <w:color w:val="000000"/>
          <w:szCs w:val="18"/>
          <w:lang w:val="en-US" w:eastAsia="da-DK"/>
        </w:rPr>
      </w:pPr>
      <w:r w:rsidRPr="00BC41DD">
        <w:rPr>
          <w:rFonts w:eastAsia="Times New Roman" w:cs="Times New Roman"/>
          <w:b/>
          <w:color w:val="000000"/>
          <w:szCs w:val="18"/>
          <w:lang w:val="en-US" w:eastAsia="da-DK"/>
        </w:rPr>
        <w:t xml:space="preserve">If more than one type of security interest is available under your Group's current law, what types are commonly used for IPRs? Please also specify if certain types of security interests are exclusively used for certain types of IPRs in your country. For example, patents may commonly be encumbered with pledges, while trademarks may commonly be assigned to the security taker. </w:t>
      </w:r>
    </w:p>
    <w:p w14:paraId="229AAFDF" w14:textId="77777777" w:rsidR="00CC55B7" w:rsidRPr="00B0533B" w:rsidRDefault="00CC55B7" w:rsidP="00CC55B7">
      <w:pPr>
        <w:pStyle w:val="ListParagraph"/>
        <w:ind w:left="927"/>
        <w:rPr>
          <w:rFonts w:eastAsia="Times New Roman" w:cs="Times New Roman"/>
          <w:color w:val="FF0000"/>
          <w:szCs w:val="18"/>
          <w:lang w:val="en-US" w:eastAsia="da-DK"/>
        </w:rPr>
      </w:pPr>
    </w:p>
    <w:p w14:paraId="2359CEDD" w14:textId="1AA17458" w:rsidR="00CC55B7" w:rsidRPr="00B425B2" w:rsidRDefault="00CC55B7" w:rsidP="00CC55B7">
      <w:pPr>
        <w:ind w:left="360"/>
        <w:rPr>
          <w:rFonts w:eastAsia="Times New Roman" w:cs="Times New Roman"/>
          <w:szCs w:val="18"/>
          <w:lang w:val="en-US" w:eastAsia="da-DK"/>
        </w:rPr>
      </w:pPr>
      <w:r w:rsidRPr="00B425B2">
        <w:rPr>
          <w:rFonts w:eastAsia="Times New Roman" w:cs="Times New Roman"/>
          <w:szCs w:val="18"/>
          <w:lang w:val="en-US" w:eastAsia="da-DK"/>
        </w:rPr>
        <w:t>The use of security interest will often depend on the actual situation. The legal literature refers to the</w:t>
      </w:r>
      <w:r w:rsidR="00EE0C7A">
        <w:rPr>
          <w:rFonts w:eastAsia="Times New Roman" w:cs="Times New Roman"/>
          <w:szCs w:val="18"/>
          <w:lang w:val="en-US" w:eastAsia="da-DK"/>
        </w:rPr>
        <w:t xml:space="preserve"> mortgage of </w:t>
      </w:r>
      <w:r w:rsidRPr="00B425B2">
        <w:rPr>
          <w:rFonts w:eastAsia="Times New Roman" w:cs="Times New Roman"/>
          <w:szCs w:val="18"/>
          <w:lang w:val="en-US" w:eastAsia="da-DK"/>
        </w:rPr>
        <w:t>trademarks</w:t>
      </w:r>
      <w:r w:rsidR="00EE0C7A">
        <w:rPr>
          <w:rFonts w:eastAsia="Times New Roman" w:cs="Times New Roman"/>
          <w:szCs w:val="18"/>
          <w:lang w:val="en-US" w:eastAsia="da-DK"/>
        </w:rPr>
        <w:t xml:space="preserve"> in the form of a fixed charge</w:t>
      </w:r>
      <w:r w:rsidRPr="00B425B2">
        <w:rPr>
          <w:rFonts w:eastAsia="Times New Roman" w:cs="Times New Roman"/>
          <w:szCs w:val="18"/>
          <w:lang w:val="en-US" w:eastAsia="da-DK"/>
        </w:rPr>
        <w:t>, as be</w:t>
      </w:r>
      <w:r>
        <w:rPr>
          <w:rFonts w:eastAsia="Times New Roman" w:cs="Times New Roman"/>
          <w:szCs w:val="18"/>
          <w:lang w:val="en-US" w:eastAsia="da-DK"/>
        </w:rPr>
        <w:t>ing in general very impractical</w:t>
      </w:r>
      <w:r w:rsidRPr="00B425B2">
        <w:rPr>
          <w:rFonts w:eastAsia="Times New Roman" w:cs="Times New Roman"/>
          <w:szCs w:val="18"/>
          <w:lang w:val="en-US" w:eastAsia="da-DK"/>
        </w:rPr>
        <w:t xml:space="preserve"> unless the </w:t>
      </w:r>
      <w:r>
        <w:rPr>
          <w:rFonts w:eastAsia="Times New Roman" w:cs="Times New Roman"/>
          <w:szCs w:val="18"/>
          <w:lang w:val="en-US" w:eastAsia="da-DK"/>
        </w:rPr>
        <w:t>charge is</w:t>
      </w:r>
      <w:r w:rsidRPr="00B425B2">
        <w:rPr>
          <w:rFonts w:eastAsia="Times New Roman" w:cs="Times New Roman"/>
          <w:szCs w:val="18"/>
          <w:lang w:val="en-US" w:eastAsia="da-DK"/>
        </w:rPr>
        <w:t xml:space="preserve"> part of a more comprehensive pledge of a company's assets, cf. "Intellectual Property Rights" by Jens </w:t>
      </w:r>
      <w:proofErr w:type="spellStart"/>
      <w:r w:rsidRPr="00B425B2">
        <w:rPr>
          <w:rFonts w:eastAsia="Times New Roman" w:cs="Times New Roman"/>
          <w:szCs w:val="18"/>
          <w:lang w:val="en-US" w:eastAsia="da-DK"/>
        </w:rPr>
        <w:t>S</w:t>
      </w:r>
      <w:r>
        <w:rPr>
          <w:rFonts w:eastAsia="Times New Roman" w:cs="Times New Roman"/>
          <w:szCs w:val="18"/>
          <w:lang w:val="en-US" w:eastAsia="da-DK"/>
        </w:rPr>
        <w:t>chovsbo</w:t>
      </w:r>
      <w:proofErr w:type="spellEnd"/>
      <w:r>
        <w:rPr>
          <w:rFonts w:eastAsia="Times New Roman" w:cs="Times New Roman"/>
          <w:szCs w:val="18"/>
          <w:lang w:val="en-US" w:eastAsia="da-DK"/>
        </w:rPr>
        <w:t xml:space="preserve"> et al. (2015), page 589</w:t>
      </w:r>
      <w:r w:rsidRPr="00B425B2">
        <w:rPr>
          <w:rFonts w:eastAsia="Times New Roman" w:cs="Times New Roman"/>
          <w:szCs w:val="18"/>
          <w:lang w:val="en-US" w:eastAsia="da-DK"/>
        </w:rPr>
        <w:t xml:space="preserve">. </w:t>
      </w:r>
    </w:p>
    <w:p w14:paraId="4761A763" w14:textId="77777777" w:rsidR="00CC55B7" w:rsidRDefault="00CC55B7" w:rsidP="00CC55B7">
      <w:pPr>
        <w:ind w:left="360"/>
        <w:rPr>
          <w:rFonts w:eastAsia="Times New Roman" w:cs="Times New Roman"/>
          <w:color w:val="FF0000"/>
          <w:szCs w:val="18"/>
          <w:lang w:val="en-US" w:eastAsia="da-DK"/>
        </w:rPr>
      </w:pPr>
    </w:p>
    <w:p w14:paraId="085F5629" w14:textId="70666FC8" w:rsidR="00CC55B7" w:rsidRPr="00B425B2" w:rsidRDefault="003839AE" w:rsidP="00CC55B7">
      <w:pPr>
        <w:ind w:left="360"/>
        <w:rPr>
          <w:rFonts w:eastAsia="Times New Roman" w:cs="Times New Roman"/>
          <w:szCs w:val="18"/>
          <w:lang w:val="en-US" w:eastAsia="da-DK"/>
        </w:rPr>
      </w:pPr>
      <w:r>
        <w:rPr>
          <w:rFonts w:eastAsia="Times New Roman" w:cs="Times New Roman"/>
          <w:szCs w:val="18"/>
          <w:lang w:val="en-US" w:eastAsia="da-DK"/>
        </w:rPr>
        <w:t>Security interests over</w:t>
      </w:r>
      <w:r w:rsidR="00CC55B7" w:rsidRPr="00B425B2">
        <w:rPr>
          <w:rFonts w:eastAsia="Times New Roman" w:cs="Times New Roman"/>
          <w:szCs w:val="18"/>
          <w:lang w:val="en-US" w:eastAsia="da-DK"/>
        </w:rPr>
        <w:t xml:space="preserve"> IPR</w:t>
      </w:r>
      <w:r>
        <w:rPr>
          <w:rFonts w:eastAsia="Times New Roman" w:cs="Times New Roman"/>
          <w:szCs w:val="18"/>
          <w:lang w:val="en-US" w:eastAsia="da-DK"/>
        </w:rPr>
        <w:t>s</w:t>
      </w:r>
      <w:r w:rsidR="00CC55B7" w:rsidRPr="00B425B2">
        <w:rPr>
          <w:rFonts w:eastAsia="Times New Roman" w:cs="Times New Roman"/>
          <w:szCs w:val="18"/>
          <w:lang w:val="en-US" w:eastAsia="da-DK"/>
        </w:rPr>
        <w:t xml:space="preserve"> as part of a </w:t>
      </w:r>
      <w:r w:rsidR="00CC55B7">
        <w:rPr>
          <w:rFonts w:eastAsia="Times New Roman" w:cs="Times New Roman"/>
          <w:szCs w:val="18"/>
          <w:lang w:val="en-US" w:eastAsia="da-DK"/>
        </w:rPr>
        <w:t>floating charge</w:t>
      </w:r>
      <w:r w:rsidR="00CC55B7" w:rsidRPr="00BC41DD">
        <w:rPr>
          <w:rFonts w:eastAsia="Times New Roman" w:cs="Times New Roman"/>
          <w:szCs w:val="18"/>
          <w:lang w:val="en-US" w:eastAsia="da-DK"/>
        </w:rPr>
        <w:t xml:space="preserve"> </w:t>
      </w:r>
      <w:r w:rsidR="00CC55B7" w:rsidRPr="00B425B2">
        <w:rPr>
          <w:rFonts w:eastAsia="Times New Roman" w:cs="Times New Roman"/>
          <w:szCs w:val="18"/>
          <w:lang w:val="en-US" w:eastAsia="da-DK"/>
        </w:rPr>
        <w:t>is very often done, but this does not necessar</w:t>
      </w:r>
      <w:r w:rsidR="00CC55B7">
        <w:rPr>
          <w:rFonts w:eastAsia="Times New Roman" w:cs="Times New Roman"/>
          <w:szCs w:val="18"/>
          <w:lang w:val="en-US" w:eastAsia="da-DK"/>
        </w:rPr>
        <w:t>il</w:t>
      </w:r>
      <w:r w:rsidR="00CC55B7" w:rsidRPr="00B425B2">
        <w:rPr>
          <w:rFonts w:eastAsia="Times New Roman" w:cs="Times New Roman"/>
          <w:szCs w:val="18"/>
          <w:lang w:val="en-US" w:eastAsia="da-DK"/>
        </w:rPr>
        <w:t xml:space="preserve">y mean that any specific considerations have been made as to the actual </w:t>
      </w:r>
      <w:r>
        <w:rPr>
          <w:rFonts w:eastAsia="Times New Roman" w:cs="Times New Roman"/>
          <w:szCs w:val="18"/>
          <w:lang w:val="en-US" w:eastAsia="da-DK"/>
        </w:rPr>
        <w:t>charge</w:t>
      </w:r>
      <w:r w:rsidR="003E42FA">
        <w:rPr>
          <w:rFonts w:eastAsia="Times New Roman" w:cs="Times New Roman"/>
          <w:szCs w:val="18"/>
          <w:lang w:val="en-US" w:eastAsia="da-DK"/>
        </w:rPr>
        <w:t xml:space="preserve"> </w:t>
      </w:r>
      <w:r w:rsidR="00CC55B7" w:rsidRPr="00B425B2">
        <w:rPr>
          <w:rFonts w:eastAsia="Times New Roman" w:cs="Times New Roman"/>
          <w:szCs w:val="18"/>
          <w:lang w:val="en-US" w:eastAsia="da-DK"/>
        </w:rPr>
        <w:t>of the IPR. This may be part of a semi-automatic procedure, where</w:t>
      </w:r>
      <w:r w:rsidR="00CC55B7">
        <w:rPr>
          <w:rFonts w:eastAsia="Times New Roman" w:cs="Times New Roman"/>
          <w:szCs w:val="18"/>
          <w:lang w:val="en-US" w:eastAsia="da-DK"/>
        </w:rPr>
        <w:t xml:space="preserve"> an</w:t>
      </w:r>
      <w:r w:rsidR="00CC55B7" w:rsidRPr="00B425B2">
        <w:rPr>
          <w:rFonts w:eastAsia="Times New Roman" w:cs="Times New Roman"/>
          <w:szCs w:val="18"/>
          <w:lang w:val="en-US" w:eastAsia="da-DK"/>
        </w:rPr>
        <w:t xml:space="preserve"> IPR is selected along with most of the other assets </w:t>
      </w:r>
      <w:r w:rsidR="00CC55B7">
        <w:rPr>
          <w:rFonts w:eastAsia="Times New Roman" w:cs="Times New Roman"/>
          <w:szCs w:val="18"/>
          <w:lang w:val="en-US" w:eastAsia="da-DK"/>
        </w:rPr>
        <w:t xml:space="preserve">that can be </w:t>
      </w:r>
      <w:r w:rsidR="00CC55B7" w:rsidRPr="00B425B2">
        <w:rPr>
          <w:rFonts w:eastAsia="Times New Roman" w:cs="Times New Roman"/>
          <w:szCs w:val="18"/>
          <w:lang w:val="en-US" w:eastAsia="da-DK"/>
        </w:rPr>
        <w:t>charge</w:t>
      </w:r>
      <w:r w:rsidR="00CC55B7">
        <w:rPr>
          <w:rFonts w:eastAsia="Times New Roman" w:cs="Times New Roman"/>
          <w:szCs w:val="18"/>
          <w:lang w:val="en-US" w:eastAsia="da-DK"/>
        </w:rPr>
        <w:t>d</w:t>
      </w:r>
      <w:r w:rsidR="00CC55B7" w:rsidRPr="00B425B2">
        <w:rPr>
          <w:rFonts w:eastAsia="Times New Roman" w:cs="Times New Roman"/>
          <w:szCs w:val="18"/>
          <w:lang w:val="en-US" w:eastAsia="da-DK"/>
        </w:rPr>
        <w:t xml:space="preserve"> as part of the </w:t>
      </w:r>
      <w:r w:rsidR="00CC55B7">
        <w:rPr>
          <w:rFonts w:eastAsia="Times New Roman" w:cs="Times New Roman"/>
          <w:szCs w:val="18"/>
          <w:lang w:val="en-US" w:eastAsia="da-DK"/>
        </w:rPr>
        <w:t>floating charge</w:t>
      </w:r>
      <w:r w:rsidR="00CC55B7" w:rsidRPr="00B425B2">
        <w:rPr>
          <w:rFonts w:eastAsia="Times New Roman" w:cs="Times New Roman"/>
          <w:szCs w:val="18"/>
          <w:lang w:val="en-US" w:eastAsia="da-DK"/>
        </w:rPr>
        <w:t>, without much considerations as to the value of the IPR - if any.</w:t>
      </w:r>
    </w:p>
    <w:p w14:paraId="4C792A87" w14:textId="77777777" w:rsidR="00CC55B7" w:rsidRPr="00B425B2" w:rsidRDefault="00CC55B7" w:rsidP="00CC55B7">
      <w:pPr>
        <w:ind w:left="360"/>
        <w:rPr>
          <w:rFonts w:eastAsia="Times New Roman" w:cs="Times New Roman"/>
          <w:szCs w:val="18"/>
          <w:lang w:val="en-US" w:eastAsia="da-DK"/>
        </w:rPr>
      </w:pPr>
    </w:p>
    <w:p w14:paraId="5F614965" w14:textId="47EA057E" w:rsidR="00CC55B7" w:rsidRPr="00B425B2" w:rsidRDefault="00CC55B7" w:rsidP="00CC55B7">
      <w:pPr>
        <w:ind w:left="360"/>
        <w:rPr>
          <w:rFonts w:eastAsia="Times New Roman" w:cs="Times New Roman"/>
          <w:szCs w:val="18"/>
          <w:lang w:val="en-US" w:eastAsia="da-DK"/>
        </w:rPr>
      </w:pPr>
      <w:r w:rsidRPr="00B425B2">
        <w:rPr>
          <w:rFonts w:eastAsia="Times New Roman" w:cs="Times New Roman"/>
          <w:szCs w:val="18"/>
          <w:lang w:val="en-US" w:eastAsia="da-DK"/>
        </w:rPr>
        <w:t xml:space="preserve">If the security provider </w:t>
      </w:r>
      <w:r>
        <w:rPr>
          <w:rFonts w:eastAsia="Times New Roman" w:cs="Times New Roman"/>
          <w:szCs w:val="18"/>
          <w:lang w:val="en-US" w:eastAsia="da-DK"/>
        </w:rPr>
        <w:t xml:space="preserve">wants </w:t>
      </w:r>
      <w:r w:rsidRPr="00B425B2">
        <w:rPr>
          <w:rFonts w:eastAsia="Times New Roman" w:cs="Times New Roman"/>
          <w:szCs w:val="18"/>
          <w:lang w:val="en-US" w:eastAsia="da-DK"/>
        </w:rPr>
        <w:t xml:space="preserve">to provide </w:t>
      </w:r>
      <w:r>
        <w:rPr>
          <w:rFonts w:eastAsia="Times New Roman" w:cs="Times New Roman"/>
          <w:szCs w:val="18"/>
          <w:lang w:val="en-US" w:eastAsia="da-DK"/>
        </w:rPr>
        <w:t>a security interest</w:t>
      </w:r>
      <w:r w:rsidRPr="00B425B2">
        <w:rPr>
          <w:rFonts w:eastAsia="Times New Roman" w:cs="Times New Roman"/>
          <w:szCs w:val="18"/>
          <w:lang w:val="en-US" w:eastAsia="da-DK"/>
        </w:rPr>
        <w:t xml:space="preserve"> </w:t>
      </w:r>
      <w:r>
        <w:rPr>
          <w:rFonts w:eastAsia="Times New Roman" w:cs="Times New Roman"/>
          <w:szCs w:val="18"/>
          <w:lang w:val="en-US" w:eastAsia="da-DK"/>
        </w:rPr>
        <w:t>over an</w:t>
      </w:r>
      <w:r w:rsidRPr="00B425B2">
        <w:rPr>
          <w:rFonts w:eastAsia="Times New Roman" w:cs="Times New Roman"/>
          <w:szCs w:val="18"/>
          <w:lang w:val="en-US" w:eastAsia="da-DK"/>
        </w:rPr>
        <w:t xml:space="preserve"> IPR registered in foreign cou</w:t>
      </w:r>
      <w:r>
        <w:rPr>
          <w:rFonts w:eastAsia="Times New Roman" w:cs="Times New Roman"/>
          <w:szCs w:val="18"/>
          <w:lang w:val="en-US" w:eastAsia="da-DK"/>
        </w:rPr>
        <w:t>ntries, this can only be done</w:t>
      </w:r>
      <w:r w:rsidRPr="00B425B2">
        <w:rPr>
          <w:rFonts w:eastAsia="Times New Roman" w:cs="Times New Roman"/>
          <w:szCs w:val="18"/>
          <w:lang w:val="en-US" w:eastAsia="da-DK"/>
        </w:rPr>
        <w:t xml:space="preserve"> by </w:t>
      </w:r>
      <w:r>
        <w:rPr>
          <w:rFonts w:eastAsia="Times New Roman" w:cs="Times New Roman"/>
          <w:szCs w:val="18"/>
          <w:lang w:val="en-US" w:eastAsia="da-DK"/>
        </w:rPr>
        <w:t xml:space="preserve">a </w:t>
      </w:r>
      <w:r w:rsidR="003839AE">
        <w:rPr>
          <w:rFonts w:eastAsia="Times New Roman" w:cs="Times New Roman"/>
          <w:szCs w:val="18"/>
          <w:lang w:val="en-US" w:eastAsia="da-DK"/>
        </w:rPr>
        <w:t>fixed charge</w:t>
      </w:r>
      <w:r w:rsidRPr="00B425B2">
        <w:rPr>
          <w:rFonts w:eastAsia="Times New Roman" w:cs="Times New Roman"/>
          <w:szCs w:val="18"/>
          <w:lang w:val="en-US" w:eastAsia="da-DK"/>
        </w:rPr>
        <w:t xml:space="preserve">.  </w:t>
      </w:r>
    </w:p>
    <w:p w14:paraId="3249850E" w14:textId="77777777" w:rsidR="00CC55B7" w:rsidRDefault="00CC55B7" w:rsidP="00CC55B7">
      <w:pPr>
        <w:rPr>
          <w:rFonts w:eastAsia="Times New Roman" w:cs="Times New Roman"/>
          <w:color w:val="000000"/>
          <w:szCs w:val="18"/>
          <w:lang w:val="en-US" w:eastAsia="da-DK"/>
        </w:rPr>
      </w:pPr>
    </w:p>
    <w:p w14:paraId="49822A00" w14:textId="77777777" w:rsidR="00CC55B7" w:rsidRDefault="00CC55B7" w:rsidP="00CC55B7">
      <w:pPr>
        <w:rPr>
          <w:rFonts w:eastAsia="Times New Roman" w:cs="Times New Roman"/>
          <w:b/>
          <w:color w:val="000000"/>
          <w:szCs w:val="18"/>
          <w:u w:val="single"/>
          <w:lang w:val="en-US" w:eastAsia="da-DK"/>
        </w:rPr>
      </w:pPr>
      <w:r>
        <w:rPr>
          <w:rFonts w:eastAsia="Times New Roman" w:cs="Times New Roman"/>
          <w:b/>
          <w:color w:val="000000"/>
          <w:szCs w:val="18"/>
          <w:u w:val="single"/>
          <w:lang w:val="en-US" w:eastAsia="da-DK"/>
        </w:rPr>
        <w:t>Effects of security interests</w:t>
      </w:r>
    </w:p>
    <w:p w14:paraId="21921985" w14:textId="77777777" w:rsidR="00CC55B7" w:rsidRDefault="00CC55B7" w:rsidP="00CC55B7">
      <w:pPr>
        <w:rPr>
          <w:rFonts w:eastAsia="Times New Roman" w:cs="Times New Roman"/>
          <w:b/>
          <w:color w:val="000000"/>
          <w:szCs w:val="18"/>
          <w:u w:val="single"/>
          <w:lang w:val="en-US" w:eastAsia="da-DK"/>
        </w:rPr>
      </w:pPr>
    </w:p>
    <w:p w14:paraId="7CE9BCC8" w14:textId="77777777" w:rsidR="00CC55B7" w:rsidRDefault="00CC55B7" w:rsidP="00CC55B7">
      <w:pPr>
        <w:pStyle w:val="ListParagraph"/>
        <w:numPr>
          <w:ilvl w:val="0"/>
          <w:numId w:val="49"/>
        </w:numPr>
        <w:rPr>
          <w:rFonts w:eastAsia="Times New Roman" w:cs="Times New Roman"/>
          <w:b/>
          <w:color w:val="000000"/>
          <w:szCs w:val="18"/>
          <w:lang w:val="en-US" w:eastAsia="da-DK"/>
        </w:rPr>
      </w:pPr>
      <w:r>
        <w:rPr>
          <w:rFonts w:eastAsia="Times New Roman" w:cs="Times New Roman"/>
          <w:b/>
          <w:color w:val="000000"/>
          <w:szCs w:val="18"/>
          <w:lang w:val="en-US" w:eastAsia="da-DK"/>
        </w:rPr>
        <w:t xml:space="preserve">Is the security provider restricted in their right to use their IPR after providing a security interest over that IPR? For example, in respect of their right to grant </w:t>
      </w:r>
      <w:r>
        <w:rPr>
          <w:rFonts w:eastAsia="Times New Roman" w:cs="Times New Roman"/>
          <w:b/>
          <w:color w:val="000000"/>
          <w:szCs w:val="18"/>
          <w:lang w:val="en-US" w:eastAsia="da-DK"/>
        </w:rPr>
        <w:lastRenderedPageBreak/>
        <w:t>licenses, or the right to use the protected subject matter. Please answer for each available type of security interest.</w:t>
      </w:r>
    </w:p>
    <w:p w14:paraId="2DFC5113" w14:textId="77777777" w:rsidR="00CC55B7" w:rsidRDefault="00CC55B7" w:rsidP="00CC55B7">
      <w:pPr>
        <w:pStyle w:val="ListParagraph"/>
        <w:ind w:left="360"/>
        <w:rPr>
          <w:rFonts w:eastAsia="Times New Roman" w:cs="Times New Roman"/>
          <w:b/>
          <w:color w:val="000000"/>
          <w:szCs w:val="18"/>
          <w:lang w:val="en-US" w:eastAsia="da-DK"/>
        </w:rPr>
      </w:pPr>
    </w:p>
    <w:p w14:paraId="43BF08AA" w14:textId="77E190B9" w:rsidR="00CC55B7" w:rsidRPr="00D82927" w:rsidRDefault="00CC55B7" w:rsidP="00CC55B7">
      <w:pPr>
        <w:pStyle w:val="ListParagraph"/>
        <w:ind w:left="360"/>
        <w:rPr>
          <w:lang w:val="en-US"/>
        </w:rPr>
      </w:pPr>
      <w:r w:rsidRPr="00D82927">
        <w:rPr>
          <w:lang w:val="en-US"/>
        </w:rPr>
        <w:t xml:space="preserve">The security provider is </w:t>
      </w:r>
      <w:r>
        <w:rPr>
          <w:lang w:val="en-US"/>
        </w:rPr>
        <w:t xml:space="preserve">generally </w:t>
      </w:r>
      <w:r w:rsidRPr="00D82927">
        <w:rPr>
          <w:lang w:val="en-US"/>
        </w:rPr>
        <w:t xml:space="preserve">not restricted </w:t>
      </w:r>
      <w:r>
        <w:rPr>
          <w:lang w:val="en-US"/>
        </w:rPr>
        <w:t xml:space="preserve">by law </w:t>
      </w:r>
      <w:r w:rsidRPr="00D82927">
        <w:rPr>
          <w:lang w:val="en-US"/>
        </w:rPr>
        <w:t xml:space="preserve">in </w:t>
      </w:r>
      <w:r>
        <w:rPr>
          <w:lang w:val="en-US"/>
        </w:rPr>
        <w:t xml:space="preserve">its </w:t>
      </w:r>
      <w:r w:rsidRPr="00D82927">
        <w:rPr>
          <w:lang w:val="en-US"/>
        </w:rPr>
        <w:t xml:space="preserve">use of the IPR after providing a security interest over that IPR, regardless of the security interest </w:t>
      </w:r>
      <w:r>
        <w:rPr>
          <w:lang w:val="en-US"/>
        </w:rPr>
        <w:t>being</w:t>
      </w:r>
      <w:r w:rsidRPr="00D82927">
        <w:rPr>
          <w:lang w:val="en-US"/>
        </w:rPr>
        <w:t xml:space="preserve"> in the form of </w:t>
      </w:r>
      <w:r>
        <w:rPr>
          <w:lang w:val="en-US"/>
        </w:rPr>
        <w:t xml:space="preserve">a </w:t>
      </w:r>
      <w:r w:rsidR="003839AE">
        <w:rPr>
          <w:lang w:val="en-US"/>
        </w:rPr>
        <w:t>fixed charge</w:t>
      </w:r>
      <w:r w:rsidR="003839AE" w:rsidRPr="00D82927">
        <w:rPr>
          <w:lang w:val="en-US"/>
        </w:rPr>
        <w:t xml:space="preserve"> </w:t>
      </w:r>
      <w:r w:rsidRPr="00D82927">
        <w:rPr>
          <w:lang w:val="en-US"/>
        </w:rPr>
        <w:t xml:space="preserve">or </w:t>
      </w:r>
      <w:r>
        <w:rPr>
          <w:lang w:val="en-US"/>
        </w:rPr>
        <w:t xml:space="preserve">a </w:t>
      </w:r>
      <w:r>
        <w:rPr>
          <w:rFonts w:eastAsia="Times New Roman" w:cs="Times New Roman"/>
          <w:szCs w:val="18"/>
          <w:lang w:val="en-US" w:eastAsia="da-DK"/>
        </w:rPr>
        <w:t>floating charge.</w:t>
      </w:r>
      <w:r w:rsidRPr="00BC41DD">
        <w:rPr>
          <w:rFonts w:eastAsia="Times New Roman" w:cs="Times New Roman"/>
          <w:szCs w:val="18"/>
          <w:lang w:val="en-US" w:eastAsia="da-DK"/>
        </w:rPr>
        <w:t xml:space="preserve"> </w:t>
      </w:r>
      <w:r>
        <w:rPr>
          <w:lang w:val="en-US"/>
        </w:rPr>
        <w:t>However, the security provider and the security taker can agree that the security provider is to be restricted in its use (cf. the parties’ freedom of contract, see our comments to Question 3).</w:t>
      </w:r>
    </w:p>
    <w:p w14:paraId="12BC3588" w14:textId="77777777" w:rsidR="00CC55B7" w:rsidRPr="00D82927" w:rsidRDefault="00CC55B7" w:rsidP="00CC55B7">
      <w:pPr>
        <w:rPr>
          <w:rFonts w:eastAsia="Times New Roman" w:cs="Times New Roman"/>
          <w:b/>
          <w:color w:val="000000"/>
          <w:szCs w:val="18"/>
          <w:lang w:val="en-US" w:eastAsia="da-DK"/>
        </w:rPr>
      </w:pPr>
    </w:p>
    <w:p w14:paraId="595E58BA" w14:textId="77777777" w:rsidR="00CC55B7" w:rsidRDefault="00CC55B7" w:rsidP="00CC55B7">
      <w:pPr>
        <w:pStyle w:val="ListParagraph"/>
        <w:numPr>
          <w:ilvl w:val="0"/>
          <w:numId w:val="49"/>
        </w:numPr>
        <w:rPr>
          <w:rFonts w:eastAsia="Times New Roman" w:cs="Times New Roman"/>
          <w:b/>
          <w:color w:val="000000"/>
          <w:szCs w:val="18"/>
          <w:lang w:val="en-US" w:eastAsia="da-DK"/>
        </w:rPr>
      </w:pPr>
      <w:r>
        <w:rPr>
          <w:rFonts w:eastAsia="Times New Roman" w:cs="Times New Roman"/>
          <w:b/>
          <w:color w:val="000000"/>
          <w:szCs w:val="18"/>
          <w:lang w:val="en-US" w:eastAsia="da-DK"/>
        </w:rPr>
        <w:t>May encumbered IPRs be assigned to third parties by the security provider?</w:t>
      </w:r>
    </w:p>
    <w:p w14:paraId="137ECBDD" w14:textId="77777777" w:rsidR="00CC55B7" w:rsidRDefault="00CC55B7" w:rsidP="00CC55B7">
      <w:pPr>
        <w:pStyle w:val="ListParagraph"/>
        <w:ind w:left="360"/>
        <w:rPr>
          <w:rFonts w:eastAsia="Times New Roman" w:cs="Times New Roman"/>
          <w:b/>
          <w:color w:val="000000"/>
          <w:szCs w:val="18"/>
          <w:lang w:val="en-US" w:eastAsia="da-DK"/>
        </w:rPr>
      </w:pPr>
    </w:p>
    <w:p w14:paraId="025F8D2B" w14:textId="77777777" w:rsidR="00CC55B7" w:rsidRDefault="00CC55B7" w:rsidP="00CC55B7">
      <w:pPr>
        <w:pStyle w:val="ListParagraph"/>
        <w:ind w:left="360"/>
        <w:rPr>
          <w:lang w:val="en-US"/>
        </w:rPr>
      </w:pPr>
      <w:r>
        <w:rPr>
          <w:lang w:val="en-US"/>
        </w:rPr>
        <w:t>Y</w:t>
      </w:r>
      <w:r w:rsidRPr="00D82927">
        <w:rPr>
          <w:lang w:val="en-US"/>
        </w:rPr>
        <w:t>es, encumbered IPR</w:t>
      </w:r>
      <w:r>
        <w:rPr>
          <w:lang w:val="en-US"/>
        </w:rPr>
        <w:t>s</w:t>
      </w:r>
      <w:r w:rsidRPr="00D82927">
        <w:rPr>
          <w:lang w:val="en-US"/>
        </w:rPr>
        <w:t xml:space="preserve"> may </w:t>
      </w:r>
      <w:r>
        <w:rPr>
          <w:lang w:val="en-US"/>
        </w:rPr>
        <w:t xml:space="preserve">under certain conditions </w:t>
      </w:r>
      <w:r w:rsidRPr="00D82927">
        <w:rPr>
          <w:lang w:val="en-US"/>
        </w:rPr>
        <w:t xml:space="preserve">be assigned to third parties by the security provider.  </w:t>
      </w:r>
    </w:p>
    <w:p w14:paraId="26B760B9" w14:textId="77777777" w:rsidR="00CC55B7" w:rsidRDefault="00CC55B7" w:rsidP="00CC55B7">
      <w:pPr>
        <w:rPr>
          <w:lang w:val="en-US"/>
        </w:rPr>
      </w:pPr>
    </w:p>
    <w:p w14:paraId="6406523A" w14:textId="77777777" w:rsidR="00CC55B7" w:rsidRDefault="00CC55B7" w:rsidP="00CC55B7">
      <w:pPr>
        <w:pStyle w:val="ListParagraph"/>
        <w:numPr>
          <w:ilvl w:val="0"/>
          <w:numId w:val="49"/>
        </w:numPr>
        <w:rPr>
          <w:b/>
          <w:lang w:val="en-US"/>
        </w:rPr>
      </w:pPr>
      <w:r w:rsidRPr="00D82927">
        <w:rPr>
          <w:b/>
          <w:lang w:val="en-US"/>
        </w:rPr>
        <w:t>If yes</w:t>
      </w:r>
      <w:r>
        <w:rPr>
          <w:b/>
          <w:lang w:val="en-US"/>
        </w:rPr>
        <w:t>:</w:t>
      </w:r>
    </w:p>
    <w:p w14:paraId="618D74AD" w14:textId="77777777" w:rsidR="00CC55B7" w:rsidRDefault="00CC55B7" w:rsidP="00CC55B7">
      <w:pPr>
        <w:pStyle w:val="ListParagraph"/>
        <w:ind w:left="360"/>
        <w:rPr>
          <w:b/>
          <w:lang w:val="en-US"/>
        </w:rPr>
      </w:pPr>
    </w:p>
    <w:p w14:paraId="0AC2097C" w14:textId="77777777" w:rsidR="00CC55B7" w:rsidRDefault="00CC55B7" w:rsidP="00CC55B7">
      <w:pPr>
        <w:pStyle w:val="ListParagraph"/>
        <w:numPr>
          <w:ilvl w:val="1"/>
          <w:numId w:val="49"/>
        </w:numPr>
        <w:jc w:val="left"/>
        <w:rPr>
          <w:b/>
          <w:lang w:val="en-US"/>
        </w:rPr>
      </w:pPr>
      <w:r>
        <w:rPr>
          <w:b/>
          <w:lang w:val="en-US"/>
        </w:rPr>
        <w:t>under what conditions may an IPR be assigned (e.g. obligation to obtain consent from the security taker, public notification or registration)?</w:t>
      </w:r>
    </w:p>
    <w:p w14:paraId="50F29E75" w14:textId="77777777" w:rsidR="00CC55B7" w:rsidRDefault="00CC55B7" w:rsidP="00CC55B7">
      <w:pPr>
        <w:pStyle w:val="ListParagraph"/>
        <w:ind w:left="1080"/>
        <w:jc w:val="left"/>
        <w:rPr>
          <w:b/>
          <w:lang w:val="en-US"/>
        </w:rPr>
      </w:pPr>
    </w:p>
    <w:p w14:paraId="06B5C221" w14:textId="3C04B4F5" w:rsidR="00CC55B7" w:rsidRPr="00506629" w:rsidRDefault="00CC55B7" w:rsidP="00CC55B7">
      <w:pPr>
        <w:pStyle w:val="ListParagraph"/>
        <w:ind w:left="1080"/>
        <w:jc w:val="left"/>
        <w:rPr>
          <w:lang w:val="en-US"/>
        </w:rPr>
      </w:pPr>
      <w:r w:rsidRPr="00506629">
        <w:rPr>
          <w:lang w:val="en-US"/>
        </w:rPr>
        <w:t>In relation to a fixed charge in an IPR, the IPR may be assigned without the consent from the security taker. However, the IPR remains encumbered with the original security interest for the benefit of the security provider</w:t>
      </w:r>
      <w:r w:rsidR="00506629">
        <w:rPr>
          <w:lang w:val="en-US"/>
        </w:rPr>
        <w:t>,</w:t>
      </w:r>
      <w:r w:rsidRPr="00506629">
        <w:rPr>
          <w:lang w:val="en-US"/>
        </w:rPr>
        <w:t xml:space="preserve"> and the buyer of the IPR will thus have to respect the fixed charge in the IPR. Further, it is noted that according to the specific standard conditions, which have to be included in the mort</w:t>
      </w:r>
      <w:r w:rsidR="00506629">
        <w:rPr>
          <w:lang w:val="en-US"/>
        </w:rPr>
        <w:t xml:space="preserve">gage deed (see our comments to </w:t>
      </w:r>
      <w:r w:rsidRPr="00506629">
        <w:rPr>
          <w:lang w:val="en-US"/>
        </w:rPr>
        <w:t>Questions 3 and 11) the security taker may in such situation require that the</w:t>
      </w:r>
      <w:r w:rsidR="00055648" w:rsidRPr="00506629">
        <w:rPr>
          <w:sz w:val="20"/>
          <w:szCs w:val="20"/>
          <w:lang w:val="en-US"/>
        </w:rPr>
        <w:t xml:space="preserve"> </w:t>
      </w:r>
      <w:r w:rsidR="00055648" w:rsidRPr="00506629">
        <w:rPr>
          <w:szCs w:val="18"/>
          <w:lang w:val="en-US"/>
        </w:rPr>
        <w:t>debt secured by the charge be repaid</w:t>
      </w:r>
      <w:r w:rsidRPr="00506629">
        <w:rPr>
          <w:lang w:val="en-US"/>
        </w:rPr>
        <w:t>. The standard conditions can be deviated from by mutual agreement.</w:t>
      </w:r>
    </w:p>
    <w:p w14:paraId="05E51461" w14:textId="77777777" w:rsidR="00CC55B7" w:rsidRPr="00CD7F0F" w:rsidRDefault="00CC55B7" w:rsidP="00CC55B7">
      <w:pPr>
        <w:jc w:val="left"/>
        <w:rPr>
          <w:lang w:val="en-US"/>
        </w:rPr>
      </w:pPr>
    </w:p>
    <w:p w14:paraId="404B7D0B" w14:textId="24DB2F63" w:rsidR="00CC55B7" w:rsidRPr="005F5768" w:rsidRDefault="00CC55B7" w:rsidP="00CC55B7">
      <w:pPr>
        <w:pStyle w:val="ListParagraph"/>
        <w:ind w:left="1080"/>
        <w:jc w:val="left"/>
        <w:rPr>
          <w:lang w:val="en-US"/>
        </w:rPr>
      </w:pPr>
      <w:r w:rsidRPr="005F5768">
        <w:rPr>
          <w:lang w:val="en-US"/>
        </w:rPr>
        <w:t xml:space="preserve">If a security interest over an IPR is provided in the form of </w:t>
      </w:r>
      <w:r w:rsidR="003E42FA">
        <w:rPr>
          <w:lang w:val="en-US"/>
        </w:rPr>
        <w:t xml:space="preserve">a </w:t>
      </w:r>
      <w:r>
        <w:rPr>
          <w:rFonts w:eastAsia="Times New Roman" w:cs="Times New Roman"/>
          <w:szCs w:val="18"/>
          <w:lang w:val="en-US" w:eastAsia="da-DK"/>
        </w:rPr>
        <w:t>floating charge</w:t>
      </w:r>
      <w:r w:rsidR="003839AE">
        <w:rPr>
          <w:rFonts w:eastAsia="Times New Roman" w:cs="Times New Roman"/>
          <w:szCs w:val="18"/>
          <w:lang w:val="en-US" w:eastAsia="da-DK"/>
        </w:rPr>
        <w:t>,</w:t>
      </w:r>
      <w:r w:rsidRPr="00BC41DD">
        <w:rPr>
          <w:rFonts w:eastAsia="Times New Roman" w:cs="Times New Roman"/>
          <w:szCs w:val="18"/>
          <w:lang w:val="en-US" w:eastAsia="da-DK"/>
        </w:rPr>
        <w:t xml:space="preserve"> </w:t>
      </w:r>
      <w:r>
        <w:rPr>
          <w:lang w:val="en-US"/>
        </w:rPr>
        <w:t xml:space="preserve">the IPR may be assigned if the assignment takes place in the </w:t>
      </w:r>
      <w:r w:rsidRPr="005F5768">
        <w:rPr>
          <w:lang w:val="en-US"/>
        </w:rPr>
        <w:t>course of the</w:t>
      </w:r>
      <w:r>
        <w:rPr>
          <w:lang w:val="en-US"/>
        </w:rPr>
        <w:t xml:space="preserve"> regular operation of the company</w:t>
      </w:r>
      <w:r w:rsidRPr="00506629">
        <w:rPr>
          <w:lang w:val="en-US"/>
        </w:rPr>
        <w:t>. In this situation, the IPR will no longer be comprised by the floating charge.</w:t>
      </w:r>
      <w:r>
        <w:rPr>
          <w:lang w:val="en-US"/>
        </w:rPr>
        <w:t xml:space="preserve"> </w:t>
      </w:r>
      <w:r w:rsidRPr="005F5768">
        <w:rPr>
          <w:lang w:val="en-US"/>
        </w:rPr>
        <w:t xml:space="preserve">However, assignment of IPRs to third parties will often not be considered to be a part of the </w:t>
      </w:r>
      <w:r>
        <w:rPr>
          <w:lang w:val="en-US"/>
        </w:rPr>
        <w:t xml:space="preserve">regular operation of the company </w:t>
      </w:r>
      <w:r w:rsidRPr="005F5768">
        <w:rPr>
          <w:lang w:val="en-US"/>
        </w:rPr>
        <w:t xml:space="preserve">since IPRs are normally considered </w:t>
      </w:r>
      <w:r>
        <w:rPr>
          <w:lang w:val="en-US"/>
        </w:rPr>
        <w:t xml:space="preserve">to be </w:t>
      </w:r>
      <w:r w:rsidRPr="005F5768">
        <w:rPr>
          <w:lang w:val="en-US"/>
        </w:rPr>
        <w:t>fixed assets</w:t>
      </w:r>
      <w:r>
        <w:rPr>
          <w:lang w:val="en-US"/>
        </w:rPr>
        <w:t xml:space="preserve"> (see our comments to Question 3)</w:t>
      </w:r>
      <w:r w:rsidRPr="005F5768">
        <w:rPr>
          <w:lang w:val="en-US"/>
        </w:rPr>
        <w:t xml:space="preserve">. In assessing whether the assignment has taken place in </w:t>
      </w:r>
      <w:r>
        <w:rPr>
          <w:lang w:val="en-US"/>
        </w:rPr>
        <w:t xml:space="preserve">the </w:t>
      </w:r>
      <w:r w:rsidRPr="005F5768">
        <w:rPr>
          <w:lang w:val="en-US"/>
        </w:rPr>
        <w:t xml:space="preserve">course of the </w:t>
      </w:r>
      <w:r>
        <w:rPr>
          <w:lang w:val="en-US"/>
        </w:rPr>
        <w:t xml:space="preserve">regular operation of the </w:t>
      </w:r>
      <w:r w:rsidRPr="005F5768">
        <w:rPr>
          <w:lang w:val="en-US"/>
        </w:rPr>
        <w:t>company</w:t>
      </w:r>
      <w:r>
        <w:rPr>
          <w:lang w:val="en-US"/>
        </w:rPr>
        <w:t>,</w:t>
      </w:r>
      <w:r w:rsidRPr="005F5768">
        <w:rPr>
          <w:lang w:val="en-US"/>
        </w:rPr>
        <w:t xml:space="preserve"> </w:t>
      </w:r>
      <w:r>
        <w:rPr>
          <w:lang w:val="en-US"/>
        </w:rPr>
        <w:t>it is important</w:t>
      </w:r>
      <w:r w:rsidRPr="005F5768">
        <w:rPr>
          <w:lang w:val="en-US"/>
        </w:rPr>
        <w:t xml:space="preserve"> whether the assignment had </w:t>
      </w:r>
      <w:r>
        <w:rPr>
          <w:lang w:val="en-US"/>
        </w:rPr>
        <w:t xml:space="preserve">any </w:t>
      </w:r>
      <w:r w:rsidRPr="005F5768">
        <w:rPr>
          <w:lang w:val="en-US"/>
        </w:rPr>
        <w:t xml:space="preserve">commercial </w:t>
      </w:r>
      <w:r w:rsidRPr="005F5768">
        <w:rPr>
          <w:lang w:val="en-US"/>
        </w:rPr>
        <w:lastRenderedPageBreak/>
        <w:t xml:space="preserve">reasons and whether the assignment happened as part of the ordinary business of the company as opposed to a winding-up of the company. </w:t>
      </w:r>
    </w:p>
    <w:p w14:paraId="2B08E47E" w14:textId="77777777" w:rsidR="00CC55B7" w:rsidRDefault="00CC55B7" w:rsidP="00CC55B7">
      <w:pPr>
        <w:pStyle w:val="ListParagraph"/>
        <w:ind w:left="1080"/>
        <w:jc w:val="left"/>
        <w:rPr>
          <w:b/>
          <w:lang w:val="en-US"/>
        </w:rPr>
      </w:pPr>
    </w:p>
    <w:p w14:paraId="0F3272EB" w14:textId="77777777" w:rsidR="00CC55B7" w:rsidRDefault="00CC55B7" w:rsidP="00CC55B7">
      <w:pPr>
        <w:pStyle w:val="ListParagraph"/>
        <w:numPr>
          <w:ilvl w:val="1"/>
          <w:numId w:val="49"/>
        </w:numPr>
        <w:jc w:val="left"/>
        <w:rPr>
          <w:b/>
          <w:lang w:val="en-US"/>
        </w:rPr>
      </w:pPr>
      <w:r>
        <w:rPr>
          <w:b/>
          <w:lang w:val="en-US"/>
        </w:rPr>
        <w:t>does the IPR remain encumbered with the original security interest for the benefit of the security taker?</w:t>
      </w:r>
    </w:p>
    <w:p w14:paraId="1D6F5D3E" w14:textId="77777777" w:rsidR="00CC55B7" w:rsidRDefault="00CC55B7" w:rsidP="00CC55B7">
      <w:pPr>
        <w:pStyle w:val="ListParagraph"/>
        <w:ind w:left="1080"/>
        <w:jc w:val="left"/>
        <w:rPr>
          <w:b/>
          <w:lang w:val="en-US"/>
        </w:rPr>
      </w:pPr>
    </w:p>
    <w:p w14:paraId="5458CC05" w14:textId="61EF3C0F" w:rsidR="00CC55B7" w:rsidRDefault="00CC55B7" w:rsidP="00CC55B7">
      <w:pPr>
        <w:pStyle w:val="ListParagraph"/>
        <w:ind w:left="1080"/>
        <w:jc w:val="left"/>
        <w:rPr>
          <w:lang w:val="en-US"/>
        </w:rPr>
      </w:pPr>
      <w:r w:rsidRPr="005F5768">
        <w:rPr>
          <w:lang w:val="en-US"/>
        </w:rPr>
        <w:t xml:space="preserve">If a security interest is provided in the form of </w:t>
      </w:r>
      <w:r>
        <w:rPr>
          <w:lang w:val="en-US"/>
        </w:rPr>
        <w:t>a</w:t>
      </w:r>
      <w:r w:rsidR="003839AE">
        <w:rPr>
          <w:lang w:val="en-US"/>
        </w:rPr>
        <w:t xml:space="preserve"> fixed charge</w:t>
      </w:r>
      <w:r>
        <w:rPr>
          <w:lang w:val="en-US"/>
        </w:rPr>
        <w:t>,</w:t>
      </w:r>
      <w:r w:rsidRPr="005F5768">
        <w:rPr>
          <w:lang w:val="en-US"/>
        </w:rPr>
        <w:t xml:space="preserve"> the IPR remains encumbered with the original security interest for the benefit of the security provider after assignment to a third party </w:t>
      </w:r>
      <w:r>
        <w:rPr>
          <w:lang w:val="en-US"/>
        </w:rPr>
        <w:t xml:space="preserve">if </w:t>
      </w:r>
      <w:r w:rsidRPr="005F5768">
        <w:rPr>
          <w:lang w:val="en-US"/>
        </w:rPr>
        <w:t xml:space="preserve">the security interest was perfected or the third party was in bad faith about the security interest. </w:t>
      </w:r>
    </w:p>
    <w:p w14:paraId="6D97B401" w14:textId="77777777" w:rsidR="00CC55B7" w:rsidRPr="005F5768" w:rsidRDefault="00CC55B7" w:rsidP="00CC55B7">
      <w:pPr>
        <w:pStyle w:val="ListParagraph"/>
        <w:ind w:left="992"/>
        <w:jc w:val="left"/>
        <w:rPr>
          <w:lang w:val="en-US"/>
        </w:rPr>
      </w:pPr>
    </w:p>
    <w:p w14:paraId="6FE1828C" w14:textId="77777777" w:rsidR="00CC55B7" w:rsidRDefault="00CC55B7" w:rsidP="00CC55B7">
      <w:pPr>
        <w:pStyle w:val="ListParagraph"/>
        <w:ind w:left="1080"/>
        <w:jc w:val="left"/>
        <w:rPr>
          <w:lang w:val="en-US"/>
        </w:rPr>
      </w:pPr>
      <w:r w:rsidRPr="005F5768">
        <w:rPr>
          <w:lang w:val="en-US"/>
        </w:rPr>
        <w:t>If a security interest over an IPR is provided in the form of</w:t>
      </w:r>
      <w:r>
        <w:rPr>
          <w:lang w:val="en-US"/>
        </w:rPr>
        <w:t xml:space="preserve"> a</w:t>
      </w:r>
      <w:r w:rsidRPr="005F5768">
        <w:rPr>
          <w:lang w:val="en-US"/>
        </w:rPr>
        <w:t xml:space="preserve"> </w:t>
      </w:r>
      <w:r>
        <w:rPr>
          <w:rFonts w:eastAsia="Times New Roman" w:cs="Times New Roman"/>
          <w:szCs w:val="18"/>
          <w:lang w:val="en-US" w:eastAsia="da-DK"/>
        </w:rPr>
        <w:t>floating charge</w:t>
      </w:r>
      <w:r w:rsidRPr="00BC41DD">
        <w:rPr>
          <w:rFonts w:eastAsia="Times New Roman" w:cs="Times New Roman"/>
          <w:szCs w:val="18"/>
          <w:lang w:val="en-US" w:eastAsia="da-DK"/>
        </w:rPr>
        <w:t xml:space="preserve"> </w:t>
      </w:r>
      <w:r w:rsidRPr="005F5768">
        <w:rPr>
          <w:lang w:val="en-US"/>
        </w:rPr>
        <w:t>and th</w:t>
      </w:r>
      <w:r>
        <w:rPr>
          <w:lang w:val="en-US"/>
        </w:rPr>
        <w:t>e</w:t>
      </w:r>
      <w:r w:rsidRPr="005F5768">
        <w:rPr>
          <w:lang w:val="en-US"/>
        </w:rPr>
        <w:t xml:space="preserve"> IPR is assigned to a third party in </w:t>
      </w:r>
      <w:r>
        <w:rPr>
          <w:lang w:val="en-US"/>
        </w:rPr>
        <w:t xml:space="preserve">the </w:t>
      </w:r>
      <w:r w:rsidRPr="005F5768">
        <w:rPr>
          <w:lang w:val="en-US"/>
        </w:rPr>
        <w:t xml:space="preserve">course of the </w:t>
      </w:r>
      <w:r>
        <w:rPr>
          <w:lang w:val="en-US"/>
        </w:rPr>
        <w:t xml:space="preserve">regular operation of the </w:t>
      </w:r>
      <w:r w:rsidRPr="005F5768">
        <w:rPr>
          <w:lang w:val="en-US"/>
        </w:rPr>
        <w:t>company th</w:t>
      </w:r>
      <w:r>
        <w:rPr>
          <w:lang w:val="en-US"/>
        </w:rPr>
        <w:t>e</w:t>
      </w:r>
      <w:r w:rsidRPr="005F5768">
        <w:rPr>
          <w:lang w:val="en-US"/>
        </w:rPr>
        <w:t xml:space="preserve"> IPR</w:t>
      </w:r>
      <w:r>
        <w:rPr>
          <w:lang w:val="en-US"/>
        </w:rPr>
        <w:t xml:space="preserve"> in question</w:t>
      </w:r>
      <w:r w:rsidRPr="005F5768">
        <w:rPr>
          <w:lang w:val="en-US"/>
        </w:rPr>
        <w:t xml:space="preserve"> does not remain encumbered</w:t>
      </w:r>
      <w:r>
        <w:rPr>
          <w:lang w:val="en-US"/>
        </w:rPr>
        <w:t xml:space="preserve"> (see our comments to Question 3)</w:t>
      </w:r>
      <w:r w:rsidRPr="005F5768">
        <w:rPr>
          <w:lang w:val="en-US"/>
        </w:rPr>
        <w:t>.</w:t>
      </w:r>
    </w:p>
    <w:p w14:paraId="395A1C30" w14:textId="77777777" w:rsidR="00CC55B7" w:rsidRDefault="00CC55B7" w:rsidP="00CC55B7">
      <w:pPr>
        <w:rPr>
          <w:lang w:val="en-US"/>
        </w:rPr>
      </w:pPr>
    </w:p>
    <w:p w14:paraId="50F8237F" w14:textId="77777777" w:rsidR="00CC55B7" w:rsidRDefault="00CC55B7" w:rsidP="00CC55B7">
      <w:pPr>
        <w:pStyle w:val="ListParagraph"/>
        <w:numPr>
          <w:ilvl w:val="0"/>
          <w:numId w:val="49"/>
        </w:numPr>
        <w:rPr>
          <w:b/>
          <w:lang w:val="en-US"/>
        </w:rPr>
      </w:pPr>
      <w:r w:rsidRPr="00654C05">
        <w:rPr>
          <w:b/>
          <w:lang w:val="en-US"/>
        </w:rPr>
        <w:t>What are the rights of the security taker before default (e.g. entitlement to damages, injunctions against infringers, or license fees)?</w:t>
      </w:r>
    </w:p>
    <w:p w14:paraId="5A76929B" w14:textId="77777777" w:rsidR="00CC55B7" w:rsidRDefault="00CC55B7" w:rsidP="00CC55B7">
      <w:pPr>
        <w:pStyle w:val="ListParagraph"/>
        <w:ind w:left="360"/>
        <w:rPr>
          <w:b/>
          <w:lang w:val="en-US"/>
        </w:rPr>
      </w:pPr>
    </w:p>
    <w:p w14:paraId="11E32B7D" w14:textId="77777777" w:rsidR="00CC55B7" w:rsidRDefault="00CC55B7" w:rsidP="00CC55B7">
      <w:pPr>
        <w:pStyle w:val="ListParagraph"/>
        <w:ind w:left="360"/>
        <w:rPr>
          <w:lang w:val="en-US"/>
        </w:rPr>
      </w:pPr>
      <w:r w:rsidRPr="00654C05">
        <w:rPr>
          <w:lang w:val="en-US"/>
        </w:rPr>
        <w:t xml:space="preserve">The security taker </w:t>
      </w:r>
      <w:r>
        <w:rPr>
          <w:lang w:val="en-US"/>
        </w:rPr>
        <w:t xml:space="preserve">generally </w:t>
      </w:r>
      <w:r w:rsidRPr="00654C05">
        <w:rPr>
          <w:lang w:val="en-US"/>
        </w:rPr>
        <w:t>has no rights</w:t>
      </w:r>
      <w:r>
        <w:rPr>
          <w:lang w:val="en-US"/>
        </w:rPr>
        <w:t xml:space="preserve"> by law</w:t>
      </w:r>
      <w:r w:rsidRPr="00654C05">
        <w:rPr>
          <w:lang w:val="en-US"/>
        </w:rPr>
        <w:t xml:space="preserve"> over the encumbered IPR before default. Hence, the security taker is not entitled to </w:t>
      </w:r>
      <w:r>
        <w:rPr>
          <w:lang w:val="en-US"/>
        </w:rPr>
        <w:t xml:space="preserve">any </w:t>
      </w:r>
      <w:r w:rsidRPr="00654C05">
        <w:rPr>
          <w:lang w:val="en-US"/>
        </w:rPr>
        <w:t>damages from infringement of the encumbered IPR, license fees from the encumbered IPR or to initiate injunction</w:t>
      </w:r>
      <w:r>
        <w:rPr>
          <w:lang w:val="en-US"/>
        </w:rPr>
        <w:t xml:space="preserve"> proceedings</w:t>
      </w:r>
      <w:r w:rsidRPr="00654C05">
        <w:rPr>
          <w:lang w:val="en-US"/>
        </w:rPr>
        <w:t xml:space="preserve"> against infringers of the encumbered IPR. </w:t>
      </w:r>
    </w:p>
    <w:p w14:paraId="53081275" w14:textId="77777777" w:rsidR="00CC55B7" w:rsidRPr="00654C05" w:rsidRDefault="00CC55B7" w:rsidP="00CC55B7">
      <w:pPr>
        <w:rPr>
          <w:lang w:val="en-US"/>
        </w:rPr>
      </w:pPr>
    </w:p>
    <w:p w14:paraId="77B8E73F" w14:textId="410CF3BD" w:rsidR="00CC55B7" w:rsidRPr="00654C05" w:rsidRDefault="00CC55B7" w:rsidP="00CC55B7">
      <w:pPr>
        <w:pStyle w:val="ListParagraph"/>
        <w:ind w:left="360"/>
        <w:rPr>
          <w:lang w:val="en-US"/>
        </w:rPr>
      </w:pPr>
      <w:r w:rsidRPr="00654C05">
        <w:rPr>
          <w:lang w:val="en-US"/>
        </w:rPr>
        <w:t>This applies to both security interests in the form of</w:t>
      </w:r>
      <w:r>
        <w:rPr>
          <w:lang w:val="en-US"/>
        </w:rPr>
        <w:t xml:space="preserve"> </w:t>
      </w:r>
      <w:r w:rsidR="003839AE">
        <w:rPr>
          <w:lang w:val="en-US"/>
        </w:rPr>
        <w:t>fixed charge</w:t>
      </w:r>
      <w:r w:rsidR="003A3CEA">
        <w:rPr>
          <w:lang w:val="en-US"/>
        </w:rPr>
        <w:t>s</w:t>
      </w:r>
      <w:r w:rsidR="00666B28">
        <w:rPr>
          <w:lang w:val="en-US"/>
        </w:rPr>
        <w:t xml:space="preserve"> </w:t>
      </w:r>
      <w:r w:rsidR="003E42FA">
        <w:rPr>
          <w:lang w:val="en-US"/>
        </w:rPr>
        <w:t>and</w:t>
      </w:r>
      <w:r>
        <w:rPr>
          <w:lang w:val="en-US"/>
        </w:rPr>
        <w:t xml:space="preserve"> </w:t>
      </w:r>
      <w:r>
        <w:rPr>
          <w:rFonts w:eastAsia="Times New Roman" w:cs="Times New Roman"/>
          <w:szCs w:val="18"/>
          <w:lang w:val="en-US" w:eastAsia="da-DK"/>
        </w:rPr>
        <w:t>floating charge</w:t>
      </w:r>
      <w:r w:rsidR="003A3CEA">
        <w:rPr>
          <w:rFonts w:eastAsia="Times New Roman" w:cs="Times New Roman"/>
          <w:szCs w:val="18"/>
          <w:lang w:val="en-US" w:eastAsia="da-DK"/>
        </w:rPr>
        <w:t>s</w:t>
      </w:r>
      <w:r w:rsidRPr="00654C05">
        <w:rPr>
          <w:lang w:val="en-US"/>
        </w:rPr>
        <w:t xml:space="preserve">. </w:t>
      </w:r>
    </w:p>
    <w:p w14:paraId="0B8C4670" w14:textId="77777777" w:rsidR="00CC55B7" w:rsidRDefault="00CC55B7" w:rsidP="00CC55B7">
      <w:pPr>
        <w:pStyle w:val="ListParagraph"/>
        <w:ind w:left="360"/>
        <w:rPr>
          <w:b/>
          <w:lang w:val="en-US"/>
        </w:rPr>
      </w:pPr>
    </w:p>
    <w:p w14:paraId="1F76F58E" w14:textId="77777777" w:rsidR="00CC55B7" w:rsidRDefault="00CC55B7" w:rsidP="00CC55B7">
      <w:pPr>
        <w:pStyle w:val="ListParagraph"/>
        <w:numPr>
          <w:ilvl w:val="0"/>
          <w:numId w:val="49"/>
        </w:numPr>
        <w:rPr>
          <w:b/>
          <w:lang w:val="en-US"/>
        </w:rPr>
      </w:pPr>
      <w:r>
        <w:rPr>
          <w:b/>
          <w:lang w:val="en-US"/>
        </w:rPr>
        <w:t xml:space="preserve">Who of the security provider or the security taker is responsible for maintenance and </w:t>
      </w:r>
      <w:proofErr w:type="spellStart"/>
      <w:r>
        <w:rPr>
          <w:b/>
          <w:lang w:val="en-US"/>
        </w:rPr>
        <w:t>defence</w:t>
      </w:r>
      <w:proofErr w:type="spellEnd"/>
      <w:r>
        <w:rPr>
          <w:b/>
          <w:lang w:val="en-US"/>
        </w:rPr>
        <w:t xml:space="preserve"> of the IPR provided as collateral?</w:t>
      </w:r>
    </w:p>
    <w:p w14:paraId="31B70B46" w14:textId="77777777" w:rsidR="00CC55B7" w:rsidRDefault="00CC55B7" w:rsidP="00CC55B7">
      <w:pPr>
        <w:pStyle w:val="ListParagraph"/>
        <w:ind w:left="360"/>
        <w:rPr>
          <w:b/>
          <w:lang w:val="en-US"/>
        </w:rPr>
      </w:pPr>
    </w:p>
    <w:p w14:paraId="5638493B" w14:textId="77777777" w:rsidR="00CC55B7" w:rsidRDefault="00CC55B7" w:rsidP="00CC55B7">
      <w:pPr>
        <w:ind w:left="360"/>
        <w:rPr>
          <w:lang w:val="en-US"/>
        </w:rPr>
      </w:pPr>
      <w:r>
        <w:rPr>
          <w:lang w:val="en-US"/>
        </w:rPr>
        <w:t xml:space="preserve">The security provider is entitled to maintain and defend the IPR provided as collateral unless otherwise agreed. </w:t>
      </w:r>
    </w:p>
    <w:p w14:paraId="485E3D3E" w14:textId="77777777" w:rsidR="00CC55B7" w:rsidRDefault="00CC55B7" w:rsidP="00CC55B7">
      <w:pPr>
        <w:ind w:left="360"/>
        <w:rPr>
          <w:lang w:val="en-US"/>
        </w:rPr>
      </w:pPr>
    </w:p>
    <w:p w14:paraId="62604113" w14:textId="1B9EE782" w:rsidR="00CC55B7" w:rsidRDefault="00CC55B7" w:rsidP="003930AC">
      <w:pPr>
        <w:ind w:left="360"/>
        <w:rPr>
          <w:lang w:val="en-US"/>
        </w:rPr>
      </w:pPr>
      <w:r>
        <w:rPr>
          <w:lang w:val="en-US"/>
        </w:rPr>
        <w:t xml:space="preserve">This applies to both security interests in the form of </w:t>
      </w:r>
      <w:r w:rsidR="003839AE">
        <w:rPr>
          <w:lang w:val="en-US"/>
        </w:rPr>
        <w:t>fixed charge</w:t>
      </w:r>
      <w:r w:rsidR="00506629">
        <w:rPr>
          <w:lang w:val="en-US"/>
        </w:rPr>
        <w:t>s</w:t>
      </w:r>
      <w:r w:rsidR="003839AE">
        <w:rPr>
          <w:lang w:val="en-US"/>
        </w:rPr>
        <w:t xml:space="preserve"> </w:t>
      </w:r>
      <w:r>
        <w:rPr>
          <w:lang w:val="en-US"/>
        </w:rPr>
        <w:t>and</w:t>
      </w:r>
      <w:r w:rsidR="003839AE">
        <w:rPr>
          <w:lang w:val="en-US"/>
        </w:rPr>
        <w:t xml:space="preserve"> </w:t>
      </w:r>
      <w:r>
        <w:rPr>
          <w:rFonts w:eastAsia="Times New Roman" w:cs="Times New Roman"/>
          <w:szCs w:val="18"/>
          <w:lang w:val="en-US" w:eastAsia="da-DK"/>
        </w:rPr>
        <w:t>floating charge</w:t>
      </w:r>
      <w:r w:rsidR="003A3CEA">
        <w:rPr>
          <w:rFonts w:eastAsia="Times New Roman" w:cs="Times New Roman"/>
          <w:szCs w:val="18"/>
          <w:lang w:val="en-US" w:eastAsia="da-DK"/>
        </w:rPr>
        <w:t>s</w:t>
      </w:r>
      <w:r>
        <w:rPr>
          <w:lang w:val="en-US"/>
        </w:rPr>
        <w:t xml:space="preserve">. </w:t>
      </w:r>
    </w:p>
    <w:p w14:paraId="21AD4FAB" w14:textId="77777777" w:rsidR="00CC55B7" w:rsidRDefault="00CC55B7" w:rsidP="00CC55B7">
      <w:pPr>
        <w:rPr>
          <w:lang w:val="en-US"/>
        </w:rPr>
      </w:pPr>
    </w:p>
    <w:p w14:paraId="10D61DD4" w14:textId="77777777" w:rsidR="00CC55B7" w:rsidRDefault="00CC55B7" w:rsidP="00CC55B7">
      <w:pPr>
        <w:pStyle w:val="ListParagraph"/>
        <w:numPr>
          <w:ilvl w:val="0"/>
          <w:numId w:val="49"/>
        </w:numPr>
        <w:rPr>
          <w:b/>
          <w:lang w:val="en-US"/>
        </w:rPr>
      </w:pPr>
      <w:r w:rsidRPr="00654C05">
        <w:rPr>
          <w:b/>
          <w:lang w:val="en-US"/>
        </w:rPr>
        <w:t>What are the legal consequences if the underlying IPR expires or is revoked? For example, the security right lapses simultaneously; the creditor has a compensation claim against the security provider.</w:t>
      </w:r>
    </w:p>
    <w:p w14:paraId="0143052B" w14:textId="77777777" w:rsidR="00CC55B7" w:rsidRDefault="00CC55B7" w:rsidP="00CC55B7">
      <w:pPr>
        <w:pStyle w:val="ListParagraph"/>
        <w:ind w:left="360"/>
        <w:rPr>
          <w:b/>
          <w:lang w:val="en-US"/>
        </w:rPr>
      </w:pPr>
    </w:p>
    <w:p w14:paraId="0329EA1D" w14:textId="0274469A" w:rsidR="00CC55B7" w:rsidRDefault="00CC55B7" w:rsidP="00CC55B7">
      <w:pPr>
        <w:ind w:left="360"/>
        <w:rPr>
          <w:lang w:val="en-US"/>
        </w:rPr>
      </w:pPr>
      <w:r>
        <w:rPr>
          <w:lang w:val="en-US"/>
        </w:rPr>
        <w:t xml:space="preserve">If the underlying IPR expires or is revoked the security right lapses simultaneously. The security taker has no compensation claim because of a lapse or a revocation of the underlying IPR. However, if the security taker suffers a loss as a consequence of the security provider's negligence or willful misconduct, the security taker may possibly claim damages from the security provider corresponding to the amount lost as a consequence. If the security provider is a company, the management of the company can under certain conditions be held personally liable for such a loss. </w:t>
      </w:r>
    </w:p>
    <w:p w14:paraId="7A070372" w14:textId="77777777" w:rsidR="00CC55B7" w:rsidRDefault="00CC55B7" w:rsidP="00CC55B7">
      <w:pPr>
        <w:ind w:left="360"/>
        <w:rPr>
          <w:lang w:val="en-US"/>
        </w:rPr>
      </w:pPr>
    </w:p>
    <w:p w14:paraId="7A1C187E" w14:textId="46265BD5" w:rsidR="00CC55B7" w:rsidRDefault="00CC55B7" w:rsidP="003930AC">
      <w:pPr>
        <w:ind w:left="360"/>
        <w:rPr>
          <w:lang w:val="en-US"/>
        </w:rPr>
      </w:pPr>
      <w:r>
        <w:rPr>
          <w:lang w:val="en-US"/>
        </w:rPr>
        <w:t xml:space="preserve">This applies to both security interests in the form of </w:t>
      </w:r>
      <w:r w:rsidR="003839AE">
        <w:rPr>
          <w:lang w:val="en-US"/>
        </w:rPr>
        <w:t>fixed charge</w:t>
      </w:r>
      <w:r w:rsidR="003A3CEA">
        <w:rPr>
          <w:lang w:val="en-US"/>
        </w:rPr>
        <w:t>s</w:t>
      </w:r>
      <w:r w:rsidR="003839AE">
        <w:rPr>
          <w:lang w:val="en-US"/>
        </w:rPr>
        <w:t xml:space="preserve"> </w:t>
      </w:r>
      <w:r w:rsidR="003E42FA">
        <w:rPr>
          <w:lang w:val="en-US"/>
        </w:rPr>
        <w:t>and</w:t>
      </w:r>
      <w:r>
        <w:rPr>
          <w:lang w:val="en-US"/>
        </w:rPr>
        <w:t xml:space="preserve"> </w:t>
      </w:r>
      <w:r>
        <w:rPr>
          <w:rFonts w:eastAsia="Times New Roman" w:cs="Times New Roman"/>
          <w:szCs w:val="18"/>
          <w:lang w:val="en-US" w:eastAsia="da-DK"/>
        </w:rPr>
        <w:t>floating charge</w:t>
      </w:r>
      <w:r w:rsidR="003A3CEA">
        <w:rPr>
          <w:rFonts w:eastAsia="Times New Roman" w:cs="Times New Roman"/>
          <w:szCs w:val="18"/>
          <w:lang w:val="en-US" w:eastAsia="da-DK"/>
        </w:rPr>
        <w:t>s</w:t>
      </w:r>
      <w:r>
        <w:rPr>
          <w:lang w:val="en-US"/>
        </w:rPr>
        <w:t>.</w:t>
      </w:r>
    </w:p>
    <w:p w14:paraId="22E496D5" w14:textId="77777777" w:rsidR="00CC55B7" w:rsidRPr="0064330E" w:rsidRDefault="00CC55B7" w:rsidP="00CC55B7">
      <w:pPr>
        <w:rPr>
          <w:b/>
          <w:lang w:val="en-US"/>
        </w:rPr>
      </w:pPr>
    </w:p>
    <w:p w14:paraId="367B2300" w14:textId="77777777" w:rsidR="00CC55B7" w:rsidRDefault="00CC55B7" w:rsidP="00CC55B7">
      <w:pPr>
        <w:pStyle w:val="ListParagraph"/>
        <w:numPr>
          <w:ilvl w:val="0"/>
          <w:numId w:val="49"/>
        </w:numPr>
        <w:rPr>
          <w:b/>
          <w:lang w:val="en-US"/>
        </w:rPr>
      </w:pPr>
      <w:r>
        <w:rPr>
          <w:b/>
          <w:lang w:val="en-US"/>
        </w:rPr>
        <w:t xml:space="preserve"> Can any of these effects of security interests over IPRs before default be modified by contractual provisions between the parties? If so, which effects?</w:t>
      </w:r>
    </w:p>
    <w:p w14:paraId="2CFA84A1" w14:textId="77777777" w:rsidR="00CC55B7" w:rsidRDefault="00CC55B7" w:rsidP="00CC55B7">
      <w:pPr>
        <w:pStyle w:val="ListParagraph"/>
        <w:ind w:left="360"/>
        <w:rPr>
          <w:b/>
          <w:lang w:val="en-US"/>
        </w:rPr>
      </w:pPr>
    </w:p>
    <w:p w14:paraId="21BECEDC" w14:textId="44B309D0" w:rsidR="00CC55B7" w:rsidRPr="0071018C" w:rsidRDefault="00CC55B7" w:rsidP="00CC55B7">
      <w:pPr>
        <w:ind w:left="360"/>
        <w:rPr>
          <w:lang w:val="en-US"/>
        </w:rPr>
      </w:pPr>
      <w:r>
        <w:rPr>
          <w:lang w:val="en-US"/>
        </w:rPr>
        <w:t xml:space="preserve">It follows from section 13 of Danish </w:t>
      </w:r>
      <w:r w:rsidRPr="0071018C">
        <w:rPr>
          <w:lang w:val="en-US"/>
        </w:rPr>
        <w:t>Act No. 213 of 15</w:t>
      </w:r>
      <w:r>
        <w:rPr>
          <w:lang w:val="en-US"/>
        </w:rPr>
        <w:t xml:space="preserve"> March </w:t>
      </w:r>
      <w:r w:rsidRPr="0071018C">
        <w:rPr>
          <w:lang w:val="en-US"/>
        </w:rPr>
        <w:t xml:space="preserve">2011 concerning registration </w:t>
      </w:r>
      <w:r>
        <w:rPr>
          <w:lang w:val="en-US"/>
        </w:rPr>
        <w:t xml:space="preserve">in the </w:t>
      </w:r>
      <w:r w:rsidRPr="00BC41DD">
        <w:rPr>
          <w:rFonts w:eastAsia="Times New Roman" w:cs="Times New Roman"/>
          <w:szCs w:val="18"/>
          <w:lang w:val="en-US" w:eastAsia="da-DK"/>
        </w:rPr>
        <w:t>Danish register of marriage contracts, chattel mortgages and declarations of legal incapacity</w:t>
      </w:r>
      <w:r w:rsidRPr="0071018C">
        <w:rPr>
          <w:lang w:val="en-US"/>
        </w:rPr>
        <w:t xml:space="preserve">  that specific standard conditions must be included in the mortgage deed (standard conditions regarding chattel (</w:t>
      </w:r>
      <w:r>
        <w:rPr>
          <w:lang w:val="en-US"/>
        </w:rPr>
        <w:t>"</w:t>
      </w:r>
      <w:proofErr w:type="spellStart"/>
      <w:r w:rsidRPr="0071018C">
        <w:rPr>
          <w:lang w:val="en-US"/>
        </w:rPr>
        <w:t>Almindelige</w:t>
      </w:r>
      <w:proofErr w:type="spellEnd"/>
      <w:r w:rsidRPr="0071018C">
        <w:rPr>
          <w:lang w:val="en-US"/>
        </w:rPr>
        <w:t xml:space="preserve"> </w:t>
      </w:r>
      <w:proofErr w:type="spellStart"/>
      <w:r w:rsidRPr="0071018C">
        <w:rPr>
          <w:lang w:val="en-US"/>
        </w:rPr>
        <w:t>betingelser</w:t>
      </w:r>
      <w:proofErr w:type="spellEnd"/>
      <w:r w:rsidRPr="0071018C">
        <w:rPr>
          <w:lang w:val="en-US"/>
        </w:rPr>
        <w:t xml:space="preserve"> (LØSØRE)</w:t>
      </w:r>
      <w:r>
        <w:rPr>
          <w:lang w:val="en-US"/>
        </w:rPr>
        <w:t>"</w:t>
      </w:r>
      <w:r w:rsidRPr="0071018C">
        <w:rPr>
          <w:lang w:val="en-US"/>
        </w:rPr>
        <w:t xml:space="preserve">) and in the letter of indemnity concerning </w:t>
      </w:r>
      <w:r>
        <w:rPr>
          <w:rFonts w:eastAsia="Times New Roman" w:cs="Times New Roman"/>
          <w:szCs w:val="18"/>
          <w:lang w:val="en-US" w:eastAsia="da-DK"/>
        </w:rPr>
        <w:t>floating charge</w:t>
      </w:r>
      <w:r w:rsidRPr="00BC41DD">
        <w:rPr>
          <w:rFonts w:eastAsia="Times New Roman" w:cs="Times New Roman"/>
          <w:szCs w:val="18"/>
          <w:lang w:val="en-US" w:eastAsia="da-DK"/>
        </w:rPr>
        <w:t xml:space="preserve"> </w:t>
      </w:r>
      <w:r w:rsidRPr="0071018C">
        <w:rPr>
          <w:lang w:val="en-US"/>
        </w:rPr>
        <w:t xml:space="preserve">(standard conditions regarding </w:t>
      </w:r>
      <w:r>
        <w:rPr>
          <w:rFonts w:eastAsia="Times New Roman" w:cs="Times New Roman"/>
          <w:szCs w:val="18"/>
          <w:lang w:val="en-US" w:eastAsia="da-DK"/>
        </w:rPr>
        <w:t>floating charge</w:t>
      </w:r>
      <w:r w:rsidRPr="00BC41DD">
        <w:rPr>
          <w:rFonts w:eastAsia="Times New Roman" w:cs="Times New Roman"/>
          <w:szCs w:val="18"/>
          <w:lang w:val="en-US" w:eastAsia="da-DK"/>
        </w:rPr>
        <w:t xml:space="preserve"> </w:t>
      </w:r>
      <w:r w:rsidRPr="0071018C">
        <w:rPr>
          <w:lang w:val="en-US"/>
        </w:rPr>
        <w:t>(</w:t>
      </w:r>
      <w:r>
        <w:rPr>
          <w:lang w:val="en-US"/>
        </w:rPr>
        <w:t>"</w:t>
      </w:r>
      <w:proofErr w:type="spellStart"/>
      <w:r w:rsidRPr="0071018C">
        <w:rPr>
          <w:lang w:val="en-US"/>
        </w:rPr>
        <w:t>Almindelige</w:t>
      </w:r>
      <w:proofErr w:type="spellEnd"/>
      <w:r w:rsidRPr="0071018C">
        <w:rPr>
          <w:lang w:val="en-US"/>
        </w:rPr>
        <w:t xml:space="preserve"> </w:t>
      </w:r>
      <w:proofErr w:type="spellStart"/>
      <w:r w:rsidRPr="0071018C">
        <w:rPr>
          <w:lang w:val="en-US"/>
        </w:rPr>
        <w:t>betingelser</w:t>
      </w:r>
      <w:proofErr w:type="spellEnd"/>
      <w:r w:rsidRPr="0071018C">
        <w:rPr>
          <w:lang w:val="en-US"/>
        </w:rPr>
        <w:t xml:space="preserve"> (VIRKSOMHEDSPANT</w:t>
      </w:r>
      <w:r>
        <w:rPr>
          <w:lang w:val="en-US"/>
        </w:rPr>
        <w:t xml:space="preserve">)") before registration in the </w:t>
      </w:r>
      <w:r w:rsidRPr="0071018C">
        <w:rPr>
          <w:lang w:val="en-US"/>
        </w:rPr>
        <w:t xml:space="preserve">register is possible. Nonetheless, the standard conditions can be deviated from by mutual agreement between the parties. </w:t>
      </w:r>
      <w:r>
        <w:rPr>
          <w:lang w:val="en-US"/>
        </w:rPr>
        <w:t>The o</w:t>
      </w:r>
      <w:r w:rsidRPr="0071018C">
        <w:rPr>
          <w:lang w:val="en-US"/>
        </w:rPr>
        <w:t xml:space="preserve">nly exception is a few conditions that cannot be deviated from in disfavor of the security provider. </w:t>
      </w:r>
      <w:r>
        <w:rPr>
          <w:lang w:val="en-US"/>
        </w:rPr>
        <w:t>With the exception of</w:t>
      </w:r>
      <w:r w:rsidR="003839AE">
        <w:rPr>
          <w:lang w:val="en-US"/>
        </w:rPr>
        <w:t xml:space="preserve"> </w:t>
      </w:r>
      <w:r w:rsidRPr="0071018C">
        <w:rPr>
          <w:lang w:val="en-US"/>
        </w:rPr>
        <w:t xml:space="preserve">these provisions, the security provider and the security taker enjoy a freedom of contract to a wide extent </w:t>
      </w:r>
      <w:r>
        <w:rPr>
          <w:lang w:val="en-US"/>
        </w:rPr>
        <w:t>(see our comments to Question 3)</w:t>
      </w:r>
      <w:r w:rsidRPr="0071018C">
        <w:rPr>
          <w:lang w:val="en-US"/>
        </w:rPr>
        <w:t xml:space="preserve">. </w:t>
      </w:r>
    </w:p>
    <w:p w14:paraId="30129481" w14:textId="77777777" w:rsidR="00CC55B7" w:rsidRDefault="00CC55B7" w:rsidP="00CC55B7">
      <w:pPr>
        <w:ind w:left="360"/>
        <w:rPr>
          <w:lang w:val="en-US"/>
        </w:rPr>
      </w:pPr>
    </w:p>
    <w:p w14:paraId="53D7F6BF" w14:textId="1898A1EF" w:rsidR="00CC55B7" w:rsidRDefault="00CC55B7" w:rsidP="00CC55B7">
      <w:pPr>
        <w:ind w:left="360"/>
        <w:rPr>
          <w:lang w:val="en-US"/>
        </w:rPr>
      </w:pPr>
      <w:r>
        <w:rPr>
          <w:lang w:val="en-US"/>
        </w:rPr>
        <w:t>The following of the effects mentioned in Question 5 –</w:t>
      </w:r>
      <w:r w:rsidR="00506629">
        <w:rPr>
          <w:lang w:val="en-US"/>
        </w:rPr>
        <w:t xml:space="preserve"> </w:t>
      </w:r>
      <w:r>
        <w:rPr>
          <w:lang w:val="en-US"/>
        </w:rPr>
        <w:t>10 can thus be modified by contractual provisions between the parties:</w:t>
      </w:r>
    </w:p>
    <w:p w14:paraId="1F21EE15" w14:textId="77777777" w:rsidR="00CC55B7" w:rsidRDefault="00CC55B7" w:rsidP="003E42FA">
      <w:pPr>
        <w:ind w:left="360"/>
        <w:rPr>
          <w:lang w:val="en-US"/>
        </w:rPr>
      </w:pPr>
    </w:p>
    <w:p w14:paraId="73B7564C" w14:textId="77777777" w:rsidR="00CC55B7" w:rsidRDefault="00CC55B7" w:rsidP="003E42FA">
      <w:pPr>
        <w:pStyle w:val="ListParagraph"/>
        <w:numPr>
          <w:ilvl w:val="0"/>
          <w:numId w:val="50"/>
        </w:numPr>
        <w:spacing w:after="200"/>
        <w:rPr>
          <w:lang w:val="en-US"/>
        </w:rPr>
      </w:pPr>
      <w:r>
        <w:rPr>
          <w:lang w:val="en-US"/>
        </w:rPr>
        <w:t>Restrictions on the security provider's right to use its IPR after providing a security interest over that IPR (Q5).</w:t>
      </w:r>
    </w:p>
    <w:p w14:paraId="5B768410" w14:textId="77777777" w:rsidR="00CC55B7" w:rsidRDefault="00CC55B7" w:rsidP="003E42FA">
      <w:pPr>
        <w:pStyle w:val="ListParagraph"/>
        <w:rPr>
          <w:lang w:val="en-US"/>
        </w:rPr>
      </w:pPr>
    </w:p>
    <w:p w14:paraId="6CB54DB9" w14:textId="3B510784" w:rsidR="00CC55B7" w:rsidRDefault="00CC55B7" w:rsidP="003E42FA">
      <w:pPr>
        <w:pStyle w:val="ListParagraph"/>
        <w:numPr>
          <w:ilvl w:val="0"/>
          <w:numId w:val="50"/>
        </w:numPr>
        <w:spacing w:after="200"/>
        <w:rPr>
          <w:lang w:val="en-US"/>
        </w:rPr>
      </w:pPr>
      <w:r>
        <w:rPr>
          <w:lang w:val="en-US"/>
        </w:rPr>
        <w:t>The security provider's possibility to assign encumbered IPR</w:t>
      </w:r>
      <w:r w:rsidR="003839AE">
        <w:rPr>
          <w:lang w:val="en-US"/>
        </w:rPr>
        <w:t>s</w:t>
      </w:r>
      <w:r>
        <w:rPr>
          <w:lang w:val="en-US"/>
        </w:rPr>
        <w:t xml:space="preserve"> (Q6). </w:t>
      </w:r>
    </w:p>
    <w:p w14:paraId="0273B257" w14:textId="77777777" w:rsidR="00CC55B7" w:rsidRPr="00891B0F" w:rsidRDefault="00CC55B7" w:rsidP="003E42FA">
      <w:pPr>
        <w:pStyle w:val="ListParagraph"/>
        <w:rPr>
          <w:lang w:val="en-US"/>
        </w:rPr>
      </w:pPr>
    </w:p>
    <w:p w14:paraId="2B8D5819" w14:textId="77777777" w:rsidR="00CC55B7" w:rsidRDefault="00CC55B7" w:rsidP="003E42FA">
      <w:pPr>
        <w:pStyle w:val="ListParagraph"/>
        <w:numPr>
          <w:ilvl w:val="0"/>
          <w:numId w:val="50"/>
        </w:numPr>
        <w:spacing w:after="200"/>
        <w:rPr>
          <w:lang w:val="en-US"/>
        </w:rPr>
      </w:pPr>
      <w:r>
        <w:rPr>
          <w:lang w:val="en-US"/>
        </w:rPr>
        <w:t xml:space="preserve">The conditions under which encumbered IPRs may be assigned (Q7a). </w:t>
      </w:r>
    </w:p>
    <w:p w14:paraId="68797C2B" w14:textId="77777777" w:rsidR="00CC55B7" w:rsidRPr="00891B0F" w:rsidRDefault="00CC55B7" w:rsidP="003E42FA">
      <w:pPr>
        <w:pStyle w:val="ListParagraph"/>
        <w:rPr>
          <w:lang w:val="en-US"/>
        </w:rPr>
      </w:pPr>
    </w:p>
    <w:p w14:paraId="179D5A3C" w14:textId="77777777" w:rsidR="00CC55B7" w:rsidRDefault="00CC55B7" w:rsidP="003E42FA">
      <w:pPr>
        <w:pStyle w:val="ListParagraph"/>
        <w:numPr>
          <w:ilvl w:val="0"/>
          <w:numId w:val="50"/>
        </w:numPr>
        <w:spacing w:after="200"/>
        <w:rPr>
          <w:lang w:val="en-US"/>
        </w:rPr>
      </w:pPr>
      <w:r>
        <w:rPr>
          <w:lang w:val="en-US"/>
        </w:rPr>
        <w:lastRenderedPageBreak/>
        <w:t>Whether the IPR remains encumbered with the original security interest for the benefit of the security provider after assignment to a third party (Q7b).</w:t>
      </w:r>
    </w:p>
    <w:p w14:paraId="0A9B76C2" w14:textId="77777777" w:rsidR="00CC55B7" w:rsidRPr="00891B0F" w:rsidRDefault="00CC55B7" w:rsidP="003E42FA">
      <w:pPr>
        <w:pStyle w:val="ListParagraph"/>
        <w:rPr>
          <w:lang w:val="en-US"/>
        </w:rPr>
      </w:pPr>
    </w:p>
    <w:p w14:paraId="0927A47B" w14:textId="238C3786" w:rsidR="00CC55B7" w:rsidRDefault="00CC55B7" w:rsidP="003E42FA">
      <w:pPr>
        <w:pStyle w:val="ListParagraph"/>
        <w:numPr>
          <w:ilvl w:val="0"/>
          <w:numId w:val="50"/>
        </w:numPr>
        <w:spacing w:after="200"/>
        <w:rPr>
          <w:lang w:val="en-US"/>
        </w:rPr>
      </w:pPr>
      <w:r>
        <w:rPr>
          <w:lang w:val="en-US"/>
        </w:rPr>
        <w:t xml:space="preserve">The rights of the security taker before default. However, please note the fact that the security taker has no right to initiate any proceedings (e.g. injunction proceedings) against infringers unless </w:t>
      </w:r>
      <w:proofErr w:type="spellStart"/>
      <w:r>
        <w:rPr>
          <w:lang w:val="en-US"/>
        </w:rPr>
        <w:t>authorised</w:t>
      </w:r>
      <w:proofErr w:type="spellEnd"/>
      <w:r>
        <w:rPr>
          <w:lang w:val="en-US"/>
        </w:rPr>
        <w:t xml:space="preserve"> by the security provider (IPR owner) (Q8).</w:t>
      </w:r>
    </w:p>
    <w:p w14:paraId="50DDB868" w14:textId="77777777" w:rsidR="00CC55B7" w:rsidRPr="00BA0CCF" w:rsidRDefault="00CC55B7" w:rsidP="003E42FA">
      <w:pPr>
        <w:pStyle w:val="ListParagraph"/>
        <w:rPr>
          <w:lang w:val="en-US"/>
        </w:rPr>
      </w:pPr>
    </w:p>
    <w:p w14:paraId="64F850AF" w14:textId="77777777" w:rsidR="00CC55B7" w:rsidRDefault="00CC55B7" w:rsidP="003E42FA">
      <w:pPr>
        <w:pStyle w:val="ListParagraph"/>
        <w:numPr>
          <w:ilvl w:val="0"/>
          <w:numId w:val="50"/>
        </w:numPr>
        <w:spacing w:after="200"/>
        <w:rPr>
          <w:lang w:val="en-US"/>
        </w:rPr>
      </w:pPr>
      <w:r>
        <w:rPr>
          <w:lang w:val="en-US"/>
        </w:rPr>
        <w:t>Which of the parties that is responsible for the maintenance and defense of the IPR provided as collateral. The security taker can thus maintain and defend the IPR on the basis of a power-of-attorney from the security provider (Q9).</w:t>
      </w:r>
    </w:p>
    <w:p w14:paraId="253C40C9" w14:textId="77777777" w:rsidR="00CC55B7" w:rsidRPr="00BA0CCF" w:rsidRDefault="00CC55B7" w:rsidP="003E42FA">
      <w:pPr>
        <w:pStyle w:val="ListParagraph"/>
        <w:rPr>
          <w:lang w:val="en-US"/>
        </w:rPr>
      </w:pPr>
    </w:p>
    <w:p w14:paraId="138E387D" w14:textId="77777777" w:rsidR="00CC55B7" w:rsidRDefault="00CC55B7" w:rsidP="003E42FA">
      <w:pPr>
        <w:pStyle w:val="ListParagraph"/>
        <w:numPr>
          <w:ilvl w:val="0"/>
          <w:numId w:val="50"/>
        </w:numPr>
        <w:spacing w:after="200"/>
        <w:rPr>
          <w:lang w:val="en-US"/>
        </w:rPr>
      </w:pPr>
      <w:r>
        <w:rPr>
          <w:lang w:val="en-US"/>
        </w:rPr>
        <w:t>The legal consequences if the underlying IPR expires or is revoked (Q10).</w:t>
      </w:r>
    </w:p>
    <w:p w14:paraId="5219C23D" w14:textId="77777777" w:rsidR="00CC55B7" w:rsidRPr="00FF152B" w:rsidRDefault="00CC55B7" w:rsidP="00CC55B7">
      <w:pPr>
        <w:pStyle w:val="ListParagraph"/>
        <w:rPr>
          <w:lang w:val="en-US"/>
        </w:rPr>
      </w:pPr>
    </w:p>
    <w:p w14:paraId="413D8C28" w14:textId="0AF7B3D4" w:rsidR="00CC55B7" w:rsidRDefault="00CC55B7" w:rsidP="00CC55B7">
      <w:pPr>
        <w:rPr>
          <w:lang w:val="en-US"/>
        </w:rPr>
      </w:pPr>
      <w:r>
        <w:rPr>
          <w:lang w:val="en-US"/>
        </w:rPr>
        <w:t xml:space="preserve">    This applies to both security interests in the form of </w:t>
      </w:r>
      <w:r w:rsidR="003A3CEA">
        <w:rPr>
          <w:lang w:val="en-US"/>
        </w:rPr>
        <w:t>fixed charges</w:t>
      </w:r>
      <w:r w:rsidR="003E42FA">
        <w:rPr>
          <w:lang w:val="en-US"/>
        </w:rPr>
        <w:t xml:space="preserve"> and</w:t>
      </w:r>
      <w:r>
        <w:rPr>
          <w:lang w:val="en-US"/>
        </w:rPr>
        <w:t xml:space="preserve"> </w:t>
      </w:r>
      <w:r>
        <w:rPr>
          <w:rFonts w:eastAsia="Times New Roman" w:cs="Times New Roman"/>
          <w:szCs w:val="18"/>
          <w:lang w:val="en-US" w:eastAsia="da-DK"/>
        </w:rPr>
        <w:t>floating charge</w:t>
      </w:r>
      <w:r w:rsidR="003A3CEA">
        <w:rPr>
          <w:rFonts w:eastAsia="Times New Roman" w:cs="Times New Roman"/>
          <w:szCs w:val="18"/>
          <w:lang w:val="en-US" w:eastAsia="da-DK"/>
        </w:rPr>
        <w:t>s</w:t>
      </w:r>
      <w:r>
        <w:rPr>
          <w:lang w:val="en-US"/>
        </w:rPr>
        <w:t>.</w:t>
      </w:r>
    </w:p>
    <w:p w14:paraId="7136A6E1" w14:textId="77777777" w:rsidR="00CC55B7" w:rsidRDefault="00CC55B7" w:rsidP="00CC55B7">
      <w:pPr>
        <w:rPr>
          <w:lang w:val="en-US"/>
        </w:rPr>
      </w:pPr>
    </w:p>
    <w:p w14:paraId="58AD0976" w14:textId="77777777" w:rsidR="00CC55B7" w:rsidRDefault="00CC55B7" w:rsidP="00CC55B7">
      <w:pPr>
        <w:rPr>
          <w:b/>
          <w:u w:val="single"/>
          <w:lang w:val="en-US"/>
        </w:rPr>
      </w:pPr>
      <w:r>
        <w:rPr>
          <w:b/>
          <w:u w:val="single"/>
          <w:lang w:val="en-US"/>
        </w:rPr>
        <w:t>Applicable law</w:t>
      </w:r>
    </w:p>
    <w:p w14:paraId="0150DA4C" w14:textId="77777777" w:rsidR="00CC55B7" w:rsidRDefault="00CC55B7" w:rsidP="00CC55B7">
      <w:pPr>
        <w:rPr>
          <w:b/>
          <w:u w:val="single"/>
          <w:lang w:val="en-US"/>
        </w:rPr>
      </w:pPr>
    </w:p>
    <w:p w14:paraId="15D354B4" w14:textId="77777777" w:rsidR="00CC55B7" w:rsidRPr="00654C05" w:rsidRDefault="00CC55B7" w:rsidP="00CC55B7">
      <w:pPr>
        <w:pStyle w:val="ListParagraph"/>
        <w:numPr>
          <w:ilvl w:val="0"/>
          <w:numId w:val="49"/>
        </w:numPr>
        <w:rPr>
          <w:b/>
          <w:lang w:val="en-US"/>
        </w:rPr>
      </w:pPr>
      <w:r w:rsidRPr="00654C05">
        <w:rPr>
          <w:b/>
          <w:lang w:val="en-US"/>
        </w:rPr>
        <w:t>Does your Group’s current law provide for conflicts of laws as to the availability and effect of security interests over IPR portfolios containing foreign as well as national IPRs?</w:t>
      </w:r>
    </w:p>
    <w:p w14:paraId="67652E9E" w14:textId="77777777" w:rsidR="00CC55B7" w:rsidRDefault="00CC55B7" w:rsidP="00CC55B7">
      <w:pPr>
        <w:ind w:firstLine="360"/>
        <w:rPr>
          <w:lang w:val="en-US"/>
        </w:rPr>
      </w:pPr>
    </w:p>
    <w:p w14:paraId="2FBA55B4" w14:textId="77777777" w:rsidR="00CC55B7" w:rsidRDefault="00CC55B7" w:rsidP="00CC55B7">
      <w:pPr>
        <w:ind w:left="360"/>
        <w:rPr>
          <w:lang w:val="en-US"/>
        </w:rPr>
      </w:pPr>
      <w:r w:rsidRPr="00654C05">
        <w:rPr>
          <w:lang w:val="en-US"/>
        </w:rPr>
        <w:t>Yes.</w:t>
      </w:r>
      <w:r>
        <w:rPr>
          <w:lang w:val="en-US"/>
        </w:rPr>
        <w:t xml:space="preserve"> Under Danish law conflict of laws as to the availability and effect of security interests are generally governed by the law of the country where the relevant asset is situated (the principle of </w:t>
      </w:r>
      <w:proofErr w:type="spellStart"/>
      <w:r w:rsidRPr="00BC2EEF">
        <w:rPr>
          <w:i/>
          <w:lang w:val="en-US"/>
        </w:rPr>
        <w:t>lex</w:t>
      </w:r>
      <w:proofErr w:type="spellEnd"/>
      <w:r w:rsidRPr="00BC2EEF">
        <w:rPr>
          <w:i/>
          <w:lang w:val="en-US"/>
        </w:rPr>
        <w:t xml:space="preserve"> loci rei </w:t>
      </w:r>
      <w:proofErr w:type="spellStart"/>
      <w:r w:rsidRPr="00BC2EEF">
        <w:rPr>
          <w:i/>
          <w:lang w:val="en-US"/>
        </w:rPr>
        <w:t>sitae</w:t>
      </w:r>
      <w:proofErr w:type="spellEnd"/>
      <w:r w:rsidRPr="002C2C5B">
        <w:rPr>
          <w:lang w:val="en-US"/>
        </w:rPr>
        <w:t xml:space="preserve"> </w:t>
      </w:r>
      <w:r w:rsidRPr="00E57747">
        <w:rPr>
          <w:lang w:val="en-US"/>
        </w:rPr>
        <w:t xml:space="preserve">or </w:t>
      </w:r>
      <w:proofErr w:type="spellStart"/>
      <w:r w:rsidRPr="00BC2EEF">
        <w:rPr>
          <w:i/>
          <w:lang w:val="en-US"/>
        </w:rPr>
        <w:t>lex</w:t>
      </w:r>
      <w:proofErr w:type="spellEnd"/>
      <w:r w:rsidRPr="00BC2EEF">
        <w:rPr>
          <w:i/>
          <w:lang w:val="en-US"/>
        </w:rPr>
        <w:t xml:space="preserve"> situs</w:t>
      </w:r>
      <w:r>
        <w:rPr>
          <w:lang w:val="en-US"/>
        </w:rPr>
        <w:t xml:space="preserve">). Although IPRs are by their nature not as such situated in a particular location, they will relate to a particular geographical territory. Under Danish law, disputes relating to the availability and effect of security interests over IPR will thus be governed by the legislation of the country/territory in which the particular IPR is registered. </w:t>
      </w:r>
    </w:p>
    <w:p w14:paraId="1A76A492" w14:textId="77777777" w:rsidR="00CC55B7" w:rsidRDefault="00CC55B7" w:rsidP="00CC55B7">
      <w:pPr>
        <w:rPr>
          <w:lang w:val="en-US"/>
        </w:rPr>
      </w:pPr>
    </w:p>
    <w:p w14:paraId="54944822" w14:textId="77777777" w:rsidR="00CC55B7" w:rsidRDefault="00CC55B7" w:rsidP="00CC55B7">
      <w:pPr>
        <w:ind w:left="360"/>
        <w:rPr>
          <w:lang w:val="en-US"/>
        </w:rPr>
      </w:pPr>
      <w:r>
        <w:rPr>
          <w:lang w:val="en-US"/>
        </w:rPr>
        <w:t xml:space="preserve">Perfection of security interests over IPR portfolios requires that the security taker perfects the security interest over each individual IPR in the country/territory where the particular IPR is registered. As regards Danish national IPR, a security interest is perfected by registration in the </w:t>
      </w:r>
      <w:r w:rsidRPr="00BC41DD">
        <w:rPr>
          <w:rFonts w:eastAsia="Times New Roman" w:cs="Times New Roman"/>
          <w:szCs w:val="18"/>
          <w:lang w:val="en-US" w:eastAsia="da-DK"/>
        </w:rPr>
        <w:t>Danish register of marriage contracts, chattel mortgages and declarations of legal incapacity</w:t>
      </w:r>
      <w:r>
        <w:rPr>
          <w:rFonts w:eastAsia="Times New Roman" w:cs="Times New Roman"/>
          <w:szCs w:val="18"/>
          <w:lang w:val="en-US" w:eastAsia="da-DK"/>
        </w:rPr>
        <w:t xml:space="preserve"> (see our comments to Question 3).</w:t>
      </w:r>
    </w:p>
    <w:p w14:paraId="57A02B0C" w14:textId="77777777" w:rsidR="00CC55B7" w:rsidRDefault="00CC55B7" w:rsidP="00CC55B7">
      <w:pPr>
        <w:rPr>
          <w:lang w:val="en-US"/>
        </w:rPr>
      </w:pPr>
    </w:p>
    <w:p w14:paraId="36A05E60" w14:textId="77777777" w:rsidR="00CC55B7" w:rsidRDefault="00CC55B7" w:rsidP="00CC55B7">
      <w:pPr>
        <w:ind w:left="360"/>
        <w:rPr>
          <w:lang w:val="en-US"/>
        </w:rPr>
      </w:pPr>
      <w:r w:rsidRPr="00C23D4D">
        <w:rPr>
          <w:lang w:val="en-US"/>
        </w:rPr>
        <w:lastRenderedPageBreak/>
        <w:t>Perfection of security interests over registered EU Trade Marks and registered EU Desig</w:t>
      </w:r>
      <w:r>
        <w:rPr>
          <w:lang w:val="en-US"/>
        </w:rPr>
        <w:t>n</w:t>
      </w:r>
      <w:r w:rsidRPr="00C23D4D">
        <w:rPr>
          <w:lang w:val="en-US"/>
        </w:rPr>
        <w:t>s</w:t>
      </w:r>
      <w:r>
        <w:rPr>
          <w:lang w:val="en-US"/>
        </w:rPr>
        <w:t xml:space="preserve"> </w:t>
      </w:r>
      <w:r w:rsidRPr="00C23D4D">
        <w:rPr>
          <w:lang w:val="en-US"/>
        </w:rPr>
        <w:t>is registration with EUIPO</w:t>
      </w:r>
      <w:r>
        <w:rPr>
          <w:lang w:val="en-US"/>
        </w:rPr>
        <w:t xml:space="preserve"> (see our comments to Question 3)</w:t>
      </w:r>
      <w:r w:rsidRPr="00C23D4D">
        <w:rPr>
          <w:lang w:val="en-US"/>
        </w:rPr>
        <w:t>.</w:t>
      </w:r>
    </w:p>
    <w:p w14:paraId="41515BBF" w14:textId="77777777" w:rsidR="00CC55B7" w:rsidRDefault="00CC55B7" w:rsidP="00CC55B7">
      <w:pPr>
        <w:rPr>
          <w:lang w:val="en-US"/>
        </w:rPr>
      </w:pPr>
    </w:p>
    <w:p w14:paraId="6939842D" w14:textId="77777777" w:rsidR="00CC55B7" w:rsidRDefault="00CC55B7" w:rsidP="00CC55B7">
      <w:pPr>
        <w:pStyle w:val="ListParagraph"/>
        <w:numPr>
          <w:ilvl w:val="0"/>
          <w:numId w:val="49"/>
        </w:numPr>
        <w:rPr>
          <w:b/>
          <w:lang w:val="en-US"/>
        </w:rPr>
      </w:pPr>
      <w:r>
        <w:rPr>
          <w:b/>
          <w:lang w:val="en-US"/>
        </w:rPr>
        <w:t xml:space="preserve"> </w:t>
      </w:r>
      <w:r w:rsidRPr="00D41897">
        <w:rPr>
          <w:b/>
          <w:lang w:val="en-US"/>
        </w:rPr>
        <w:t>Which national law applies as to creation, perfection and effect of security interests over foreign IPRs? For example, where a US patent is provided as collateral in respect of a financial transaction in Europe.</w:t>
      </w:r>
    </w:p>
    <w:p w14:paraId="5E90B1B9" w14:textId="77777777" w:rsidR="00CC55B7" w:rsidRDefault="00CC55B7" w:rsidP="00CC55B7">
      <w:pPr>
        <w:rPr>
          <w:b/>
          <w:lang w:val="en-US"/>
        </w:rPr>
      </w:pPr>
    </w:p>
    <w:p w14:paraId="6FFEFE51" w14:textId="77777777" w:rsidR="00CC55B7" w:rsidRDefault="00CC55B7" w:rsidP="00CC55B7">
      <w:pPr>
        <w:ind w:left="360"/>
        <w:rPr>
          <w:lang w:val="en-US"/>
        </w:rPr>
      </w:pPr>
      <w:r>
        <w:rPr>
          <w:lang w:val="en-US"/>
        </w:rPr>
        <w:t xml:space="preserve">Under Danish contract law, the contracting parties are free to include a choice of law provision in an agreement that creates a security interest over a foreign IPR. Such choice of law will, however, only be effective to some extent in the </w:t>
      </w:r>
      <w:r w:rsidRPr="002C2C5B">
        <w:rPr>
          <w:i/>
          <w:lang w:val="en-US"/>
        </w:rPr>
        <w:t xml:space="preserve">inter </w:t>
      </w:r>
      <w:proofErr w:type="spellStart"/>
      <w:r w:rsidRPr="002C2C5B">
        <w:rPr>
          <w:i/>
          <w:lang w:val="en-US"/>
        </w:rPr>
        <w:t>partes</w:t>
      </w:r>
      <w:proofErr w:type="spellEnd"/>
      <w:r>
        <w:rPr>
          <w:lang w:val="en-US"/>
        </w:rPr>
        <w:t xml:space="preserve"> relationship and not against third parties. If the parties do not include a choice of law provision, a Danish court – assuming that the Danish court has jurisdiction - will decide which country’s law to apply based on applicable private international law. </w:t>
      </w:r>
    </w:p>
    <w:p w14:paraId="246F49C9" w14:textId="77777777" w:rsidR="00CC55B7" w:rsidRDefault="00CC55B7" w:rsidP="00CC55B7">
      <w:pPr>
        <w:rPr>
          <w:lang w:val="en-US"/>
        </w:rPr>
      </w:pPr>
    </w:p>
    <w:p w14:paraId="5C6E6E46" w14:textId="5BBA705B" w:rsidR="00CC55B7" w:rsidRDefault="00CC55B7" w:rsidP="00CC55B7">
      <w:pPr>
        <w:ind w:left="360"/>
        <w:rPr>
          <w:lang w:val="en-US"/>
        </w:rPr>
      </w:pPr>
      <w:r>
        <w:rPr>
          <w:lang w:val="en-US"/>
        </w:rPr>
        <w:t xml:space="preserve">The choice of law in relation to perfection and effect of the securitization is not left to the discretion of the parties, but will be governed by the principle of </w:t>
      </w:r>
      <w:proofErr w:type="spellStart"/>
      <w:r w:rsidRPr="002C2C5B">
        <w:rPr>
          <w:i/>
          <w:lang w:val="en-US"/>
        </w:rPr>
        <w:t>lex</w:t>
      </w:r>
      <w:proofErr w:type="spellEnd"/>
      <w:r w:rsidRPr="002C2C5B">
        <w:rPr>
          <w:i/>
          <w:lang w:val="en-US"/>
        </w:rPr>
        <w:t xml:space="preserve"> situs</w:t>
      </w:r>
      <w:r>
        <w:rPr>
          <w:lang w:val="en-US"/>
        </w:rPr>
        <w:t>. The question of whether a security interest over a foreign IPR has been perfected will be governed by the law of the country/territory in which the particular IPR is registered. Further, the Danish enforcement courts will only levy distress in relation to assets that are situated in Denmark and thus not in relation to a foreign IPR.</w:t>
      </w:r>
    </w:p>
    <w:p w14:paraId="13894D7F" w14:textId="77777777" w:rsidR="00CC55B7" w:rsidRDefault="00CC55B7" w:rsidP="00CC55B7">
      <w:pPr>
        <w:rPr>
          <w:lang w:val="en-US"/>
        </w:rPr>
      </w:pPr>
    </w:p>
    <w:p w14:paraId="156EC15A" w14:textId="77777777" w:rsidR="00CC55B7" w:rsidRDefault="00CC55B7" w:rsidP="00CC55B7">
      <w:pPr>
        <w:ind w:left="360"/>
        <w:rPr>
          <w:lang w:val="en-US"/>
        </w:rPr>
      </w:pPr>
      <w:r>
        <w:rPr>
          <w:lang w:val="en-US"/>
        </w:rPr>
        <w:t xml:space="preserve">In the example where a US patent is provided as collateral in respect of a financial transaction in Denmark, the parties may agree on e.g. Danish law to govern the </w:t>
      </w:r>
      <w:r w:rsidRPr="003930AC">
        <w:rPr>
          <w:i/>
          <w:lang w:val="en-US"/>
        </w:rPr>
        <w:t xml:space="preserve">inter </w:t>
      </w:r>
      <w:proofErr w:type="spellStart"/>
      <w:r w:rsidRPr="003930AC">
        <w:rPr>
          <w:i/>
          <w:lang w:val="en-US"/>
        </w:rPr>
        <w:t>partes</w:t>
      </w:r>
      <w:proofErr w:type="spellEnd"/>
      <w:r>
        <w:rPr>
          <w:lang w:val="en-US"/>
        </w:rPr>
        <w:t xml:space="preserve"> relationship, for example when assessing the particular financial obligations for which the security interest over the US patent serves as collateral. However, regardless of whether the parties have included a choice of law provision or not, US law will apply to the perfection and effect of the security interest over the US patent.</w:t>
      </w:r>
    </w:p>
    <w:p w14:paraId="54FC66B8" w14:textId="77777777" w:rsidR="00CC55B7" w:rsidRDefault="00CC55B7" w:rsidP="00CC55B7">
      <w:pPr>
        <w:rPr>
          <w:lang w:val="en-US"/>
        </w:rPr>
      </w:pPr>
    </w:p>
    <w:p w14:paraId="71FD968E" w14:textId="77777777" w:rsidR="00CC55B7" w:rsidRPr="00D41897" w:rsidRDefault="00CC55B7" w:rsidP="00CC55B7">
      <w:pPr>
        <w:pStyle w:val="ListParagraph"/>
        <w:numPr>
          <w:ilvl w:val="0"/>
          <w:numId w:val="49"/>
        </w:numPr>
        <w:rPr>
          <w:b/>
          <w:lang w:val="en-US"/>
        </w:rPr>
      </w:pPr>
      <w:r w:rsidRPr="00D41897">
        <w:rPr>
          <w:b/>
          <w:lang w:val="en-US"/>
        </w:rPr>
        <w:t>Can a choice of law provision in a security interest agreement over IPRs overrule the applicable law as to availability and effect?</w:t>
      </w:r>
    </w:p>
    <w:p w14:paraId="2885AD23" w14:textId="77777777" w:rsidR="00CC55B7" w:rsidRPr="00D41897" w:rsidRDefault="00CC55B7" w:rsidP="00CC55B7">
      <w:pPr>
        <w:rPr>
          <w:b/>
          <w:lang w:val="en-US"/>
        </w:rPr>
      </w:pPr>
    </w:p>
    <w:p w14:paraId="2B4FF2C1" w14:textId="77777777" w:rsidR="00CC55B7" w:rsidRDefault="00CC55B7" w:rsidP="00CC55B7">
      <w:pPr>
        <w:ind w:left="360"/>
        <w:rPr>
          <w:lang w:val="en-US"/>
        </w:rPr>
      </w:pPr>
      <w:r>
        <w:rPr>
          <w:lang w:val="en-US"/>
        </w:rPr>
        <w:t xml:space="preserve">No, under Danish law a choice of law provision in a security interest agreement over IPRs cannot overrule the applicable law as to availability and effect. </w:t>
      </w:r>
    </w:p>
    <w:p w14:paraId="3520A431" w14:textId="77777777" w:rsidR="00CC55B7" w:rsidRDefault="00CC55B7" w:rsidP="00CC55B7">
      <w:pPr>
        <w:rPr>
          <w:lang w:val="en-US"/>
        </w:rPr>
      </w:pPr>
    </w:p>
    <w:p w14:paraId="4047A99E" w14:textId="3C9ED531" w:rsidR="00CC55B7" w:rsidRDefault="00CC55B7" w:rsidP="00CC55B7">
      <w:pPr>
        <w:ind w:left="360"/>
        <w:rPr>
          <w:lang w:val="en-US"/>
        </w:rPr>
      </w:pPr>
      <w:r>
        <w:rPr>
          <w:lang w:val="en-US"/>
        </w:rPr>
        <w:t xml:space="preserve">A choice of law provision in a security interest agreement over IPRs will only be effective to some extent </w:t>
      </w:r>
      <w:r w:rsidRPr="002C2C5B">
        <w:rPr>
          <w:i/>
          <w:lang w:val="en-US"/>
        </w:rPr>
        <w:t xml:space="preserve">inter </w:t>
      </w:r>
      <w:proofErr w:type="spellStart"/>
      <w:r w:rsidRPr="002C2C5B">
        <w:rPr>
          <w:i/>
          <w:lang w:val="en-US"/>
        </w:rPr>
        <w:t>partes</w:t>
      </w:r>
      <w:proofErr w:type="spellEnd"/>
      <w:r w:rsidR="00183746">
        <w:rPr>
          <w:lang w:val="en-US"/>
        </w:rPr>
        <w:t xml:space="preserve">, </w:t>
      </w:r>
      <w:r>
        <w:rPr>
          <w:lang w:val="en-US"/>
        </w:rPr>
        <w:t>i.e. between the contracting parties, for example when as</w:t>
      </w:r>
      <w:r>
        <w:rPr>
          <w:lang w:val="en-US"/>
        </w:rPr>
        <w:lastRenderedPageBreak/>
        <w:t xml:space="preserve">sessing the particular financial obligations for which the security interest serves as collateral. However, the Danish enforcement courts cannot levy distress in relation to a foreign IPR regardless of the existence of a choice of law provision. Further, a choice of law provision in a security interest agreement will not be effective in relation to a dispute with a third party. In such situations, the principle of </w:t>
      </w:r>
      <w:proofErr w:type="spellStart"/>
      <w:r w:rsidRPr="002C2C5B">
        <w:rPr>
          <w:i/>
          <w:lang w:val="en-US"/>
        </w:rPr>
        <w:t>lex</w:t>
      </w:r>
      <w:proofErr w:type="spellEnd"/>
      <w:r w:rsidRPr="002C2C5B">
        <w:rPr>
          <w:i/>
          <w:lang w:val="en-US"/>
        </w:rPr>
        <w:t xml:space="preserve"> situs</w:t>
      </w:r>
      <w:r>
        <w:rPr>
          <w:lang w:val="en-US"/>
        </w:rPr>
        <w:t xml:space="preserve"> will apply.</w:t>
      </w:r>
    </w:p>
    <w:p w14:paraId="1842E69F" w14:textId="77777777" w:rsidR="00CC55B7" w:rsidRDefault="00CC55B7" w:rsidP="00CC55B7">
      <w:pPr>
        <w:rPr>
          <w:lang w:val="en-US"/>
        </w:rPr>
      </w:pPr>
    </w:p>
    <w:p w14:paraId="59961B88" w14:textId="77777777" w:rsidR="00CC55B7" w:rsidRDefault="00CC55B7" w:rsidP="00CC55B7">
      <w:pPr>
        <w:ind w:firstLine="360"/>
        <w:rPr>
          <w:lang w:val="en-US"/>
        </w:rPr>
      </w:pPr>
      <w:r>
        <w:rPr>
          <w:lang w:val="en-US"/>
        </w:rPr>
        <w:t>Please also see our comments to Questions 12 and 13 above.</w:t>
      </w:r>
    </w:p>
    <w:p w14:paraId="6EAB0BF7" w14:textId="77777777" w:rsidR="00CC55B7" w:rsidRDefault="00CC55B7" w:rsidP="00CC55B7">
      <w:pPr>
        <w:rPr>
          <w:b/>
          <w:lang w:val="en-US"/>
        </w:rPr>
      </w:pPr>
    </w:p>
    <w:p w14:paraId="32F70196" w14:textId="77777777" w:rsidR="00CC55B7" w:rsidRPr="00231426" w:rsidRDefault="00CC55B7" w:rsidP="00CC55B7">
      <w:pPr>
        <w:rPr>
          <w:b/>
          <w:u w:val="single"/>
          <w:lang w:val="en-US"/>
        </w:rPr>
      </w:pPr>
      <w:r>
        <w:rPr>
          <w:b/>
          <w:u w:val="single"/>
          <w:lang w:val="en-US"/>
        </w:rPr>
        <w:t>Additional question</w:t>
      </w:r>
    </w:p>
    <w:p w14:paraId="49049EE6" w14:textId="77777777" w:rsidR="00CC55B7" w:rsidRDefault="00CC55B7" w:rsidP="00CC55B7">
      <w:pPr>
        <w:rPr>
          <w:b/>
          <w:lang w:val="en-US"/>
        </w:rPr>
      </w:pPr>
    </w:p>
    <w:p w14:paraId="5150BB5D" w14:textId="396F3B77" w:rsidR="00CC55B7" w:rsidRDefault="00CC55B7" w:rsidP="00CC55B7">
      <w:pPr>
        <w:pStyle w:val="ListParagraph"/>
        <w:numPr>
          <w:ilvl w:val="0"/>
          <w:numId w:val="49"/>
        </w:numPr>
        <w:rPr>
          <w:b/>
          <w:lang w:val="en-US"/>
        </w:rPr>
      </w:pPr>
      <w:r w:rsidRPr="00D41897">
        <w:rPr>
          <w:b/>
          <w:lang w:val="en-US"/>
        </w:rPr>
        <w:t>Regardless of your Group</w:t>
      </w:r>
      <w:r>
        <w:rPr>
          <w:b/>
          <w:lang w:val="en-US"/>
        </w:rPr>
        <w:t>'</w:t>
      </w:r>
      <w:r w:rsidRPr="00D41897">
        <w:rPr>
          <w:b/>
          <w:lang w:val="en-US"/>
        </w:rPr>
        <w:t xml:space="preserve">s current law relating to security interests over IPRs, is it possible to create a solely contractual regime for security interests over </w:t>
      </w:r>
      <w:r w:rsidR="00183746">
        <w:rPr>
          <w:b/>
          <w:lang w:val="en-US"/>
        </w:rPr>
        <w:t>IPR</w:t>
      </w:r>
      <w:r w:rsidRPr="00D41897">
        <w:rPr>
          <w:b/>
          <w:lang w:val="en-US"/>
        </w:rPr>
        <w:t>s (i.e. beside the types of security interests defined by law) that is enforceable between the contracting parties?</w:t>
      </w:r>
    </w:p>
    <w:p w14:paraId="2130C883" w14:textId="77777777" w:rsidR="00CC55B7" w:rsidRDefault="00CC55B7" w:rsidP="00CC55B7">
      <w:pPr>
        <w:pStyle w:val="ListParagraph"/>
        <w:ind w:left="360"/>
        <w:rPr>
          <w:b/>
          <w:lang w:val="en-US"/>
        </w:rPr>
      </w:pPr>
    </w:p>
    <w:p w14:paraId="67890861" w14:textId="1CD51EE4" w:rsidR="00CC55B7" w:rsidRDefault="00CC55B7" w:rsidP="00CC55B7">
      <w:pPr>
        <w:ind w:left="360"/>
        <w:rPr>
          <w:lang w:val="en-US"/>
        </w:rPr>
      </w:pPr>
      <w:r>
        <w:rPr>
          <w:lang w:val="en-US"/>
        </w:rPr>
        <w:t xml:space="preserve">Yes. </w:t>
      </w:r>
      <w:r w:rsidRPr="000E221D">
        <w:rPr>
          <w:lang w:val="en-US"/>
        </w:rPr>
        <w:t>The overriding principle govern</w:t>
      </w:r>
      <w:r>
        <w:rPr>
          <w:lang w:val="en-US"/>
        </w:rPr>
        <w:t>ing</w:t>
      </w:r>
      <w:r w:rsidRPr="000E221D">
        <w:rPr>
          <w:lang w:val="en-US"/>
        </w:rPr>
        <w:t xml:space="preserve"> Danish contract law is the principle of freedom of contract</w:t>
      </w:r>
      <w:r>
        <w:rPr>
          <w:lang w:val="en-US"/>
        </w:rPr>
        <w:t>.</w:t>
      </w:r>
      <w:r w:rsidR="003E42FA">
        <w:rPr>
          <w:lang w:val="en-US"/>
        </w:rPr>
        <w:t xml:space="preserve"> </w:t>
      </w:r>
      <w:r w:rsidRPr="000E221D">
        <w:rPr>
          <w:lang w:val="en-US"/>
        </w:rPr>
        <w:t>There are only few mandatory rules applying to business-to-business relations as regards the formation and content</w:t>
      </w:r>
      <w:r>
        <w:rPr>
          <w:lang w:val="en-US"/>
        </w:rPr>
        <w:t>s</w:t>
      </w:r>
      <w:r w:rsidRPr="000E221D">
        <w:rPr>
          <w:lang w:val="en-US"/>
        </w:rPr>
        <w:t xml:space="preserve"> of contracts</w:t>
      </w:r>
      <w:r>
        <w:rPr>
          <w:lang w:val="en-US"/>
        </w:rPr>
        <w:t xml:space="preserve"> (see our comments to Question 3)</w:t>
      </w:r>
      <w:r w:rsidRPr="000E221D">
        <w:rPr>
          <w:lang w:val="en-US"/>
        </w:rPr>
        <w:t>.</w:t>
      </w:r>
    </w:p>
    <w:p w14:paraId="0F135353" w14:textId="77777777" w:rsidR="00CC55B7" w:rsidRDefault="00CC55B7" w:rsidP="00CC55B7">
      <w:pPr>
        <w:rPr>
          <w:lang w:val="en-US"/>
        </w:rPr>
      </w:pPr>
    </w:p>
    <w:p w14:paraId="737041B5" w14:textId="77777777" w:rsidR="00CC55B7" w:rsidRPr="003930AC" w:rsidRDefault="00CC55B7" w:rsidP="00CC55B7">
      <w:pPr>
        <w:ind w:left="360"/>
        <w:rPr>
          <w:color w:val="FF0000"/>
          <w:lang w:val="en-US"/>
        </w:rPr>
      </w:pPr>
      <w:r>
        <w:rPr>
          <w:lang w:val="en-US"/>
        </w:rPr>
        <w:t xml:space="preserve">It may therefore be possible to create a solely contractual regime for security interests over IPR that is enforceable between the contracting parties. For example, in a situation where a security provider's IPR is used as collateral by formal assignment of the IPR to the security taker with a license being granted back to the security provider. The IPR will then be reassigned to the security provider when the security obligations are discharged in full. In the UK, such contractual regime is seen referred to as "legal mortgage". </w:t>
      </w:r>
      <w:r w:rsidRPr="00183746">
        <w:rPr>
          <w:lang w:val="en-US"/>
        </w:rPr>
        <w:t>However, even if the IPR is formally assigned to the security taker as in the example, it is - depending on the circumstances - possible that the Danish courts would find that such contractual regime would not be effective in disputes against third parties.</w:t>
      </w:r>
    </w:p>
    <w:p w14:paraId="3495C38D" w14:textId="77777777" w:rsidR="00CC55B7" w:rsidRDefault="00CC55B7" w:rsidP="00CC55B7">
      <w:pPr>
        <w:rPr>
          <w:lang w:val="en-US"/>
        </w:rPr>
      </w:pPr>
    </w:p>
    <w:p w14:paraId="707BC95E" w14:textId="77777777" w:rsidR="00CC55B7" w:rsidRDefault="00CC55B7" w:rsidP="00CC55B7">
      <w:pPr>
        <w:ind w:left="360"/>
        <w:rPr>
          <w:lang w:val="en-US"/>
        </w:rPr>
      </w:pPr>
      <w:r>
        <w:rPr>
          <w:lang w:val="en-US"/>
        </w:rPr>
        <w:t xml:space="preserve">It should be noted, however, that the Danish enforcement courts will not levy distress in relation to foreign IPRs. Further, in contractual regimes, where the right is not assigned in full to the security taker, would not be effective in disputes against third parties where the principle of </w:t>
      </w:r>
      <w:proofErr w:type="spellStart"/>
      <w:r w:rsidRPr="003E42FA">
        <w:rPr>
          <w:i/>
          <w:lang w:val="en-US"/>
        </w:rPr>
        <w:t>lex</w:t>
      </w:r>
      <w:proofErr w:type="spellEnd"/>
      <w:r w:rsidRPr="003E42FA">
        <w:rPr>
          <w:i/>
          <w:lang w:val="en-US"/>
        </w:rPr>
        <w:t xml:space="preserve"> situs</w:t>
      </w:r>
      <w:r>
        <w:rPr>
          <w:lang w:val="en-US"/>
        </w:rPr>
        <w:t xml:space="preserve"> would apply. </w:t>
      </w:r>
    </w:p>
    <w:p w14:paraId="370EE01A" w14:textId="77777777" w:rsidR="003E42FA" w:rsidRDefault="003E42FA" w:rsidP="00CC55B7">
      <w:pPr>
        <w:ind w:left="360"/>
        <w:rPr>
          <w:lang w:val="en-US"/>
        </w:rPr>
      </w:pPr>
    </w:p>
    <w:p w14:paraId="50B82607" w14:textId="77777777" w:rsidR="003E42FA" w:rsidRDefault="003E42FA" w:rsidP="00CC55B7">
      <w:pPr>
        <w:ind w:left="360"/>
        <w:rPr>
          <w:lang w:val="en-US"/>
        </w:rPr>
      </w:pPr>
    </w:p>
    <w:p w14:paraId="4397B98D" w14:textId="77777777" w:rsidR="003E42FA" w:rsidRDefault="003E42FA" w:rsidP="00CC55B7">
      <w:pPr>
        <w:ind w:left="360"/>
        <w:rPr>
          <w:lang w:val="en-US"/>
        </w:rPr>
      </w:pPr>
    </w:p>
    <w:p w14:paraId="57E9107C" w14:textId="77777777" w:rsidR="00CC55B7" w:rsidRDefault="00CC55B7" w:rsidP="00CC55B7">
      <w:pPr>
        <w:outlineLvl w:val="0"/>
        <w:rPr>
          <w:rFonts w:eastAsia="Times New Roman" w:cs="Times New Roman"/>
          <w:b/>
          <w:color w:val="000000"/>
          <w:szCs w:val="18"/>
          <w:u w:val="single"/>
          <w:lang w:val="en-US" w:eastAsia="da-DK"/>
        </w:rPr>
      </w:pPr>
    </w:p>
    <w:p w14:paraId="232A5045" w14:textId="77777777" w:rsidR="00CC55B7" w:rsidRPr="00C60A05" w:rsidRDefault="00CC55B7" w:rsidP="00CC55B7">
      <w:pPr>
        <w:outlineLvl w:val="0"/>
        <w:rPr>
          <w:rFonts w:eastAsia="Times New Roman" w:cs="Times New Roman"/>
          <w:b/>
          <w:color w:val="000000"/>
          <w:sz w:val="20"/>
          <w:szCs w:val="20"/>
          <w:lang w:val="en-US" w:eastAsia="da-DK"/>
        </w:rPr>
      </w:pPr>
      <w:r w:rsidRPr="00C60A05">
        <w:rPr>
          <w:rFonts w:eastAsia="Times New Roman" w:cs="Times New Roman"/>
          <w:b/>
          <w:color w:val="000000"/>
          <w:sz w:val="20"/>
          <w:szCs w:val="20"/>
          <w:lang w:val="en-US" w:eastAsia="da-DK"/>
        </w:rPr>
        <w:lastRenderedPageBreak/>
        <w:t>II. Policy considerations and possible improvements to your current law</w:t>
      </w:r>
    </w:p>
    <w:p w14:paraId="29563E23" w14:textId="77777777" w:rsidR="00CC55B7" w:rsidRDefault="00CC55B7" w:rsidP="00CC55B7">
      <w:pPr>
        <w:outlineLvl w:val="0"/>
        <w:rPr>
          <w:rFonts w:eastAsia="Times New Roman" w:cs="Times New Roman"/>
          <w:b/>
          <w:color w:val="000000"/>
          <w:szCs w:val="18"/>
          <w:u w:val="single"/>
          <w:lang w:val="en-US" w:eastAsia="da-DK"/>
        </w:rPr>
      </w:pPr>
    </w:p>
    <w:p w14:paraId="6C9A7ABC" w14:textId="77777777" w:rsidR="00CC55B7" w:rsidRPr="004619D6" w:rsidRDefault="00CC55B7" w:rsidP="00CC55B7">
      <w:pPr>
        <w:pStyle w:val="ListParagraph"/>
        <w:numPr>
          <w:ilvl w:val="0"/>
          <w:numId w:val="49"/>
        </w:numPr>
        <w:outlineLvl w:val="0"/>
        <w:rPr>
          <w:rFonts w:eastAsia="Times New Roman" w:cs="Times New Roman"/>
          <w:b/>
          <w:color w:val="000000"/>
          <w:szCs w:val="18"/>
          <w:lang w:val="en-US" w:eastAsia="da-DK"/>
        </w:rPr>
      </w:pPr>
      <w:r>
        <w:rPr>
          <w:rFonts w:eastAsia="Times New Roman" w:cs="Times New Roman"/>
          <w:b/>
          <w:color w:val="000000"/>
          <w:szCs w:val="18"/>
          <w:lang w:val="en-US" w:eastAsia="da-DK"/>
        </w:rPr>
        <w:t>Is your Group's current law regarding security interests over IPRs sufficient to provide certainty and predictability to the parties?</w:t>
      </w:r>
    </w:p>
    <w:p w14:paraId="7D637D12" w14:textId="77777777" w:rsidR="00CC55B7" w:rsidRPr="00B425B2" w:rsidRDefault="00CC55B7" w:rsidP="00CC55B7">
      <w:pPr>
        <w:rPr>
          <w:rFonts w:eastAsia="Times New Roman" w:cs="Times New Roman"/>
          <w:b/>
          <w:color w:val="000000"/>
          <w:szCs w:val="18"/>
          <w:lang w:val="en-US" w:eastAsia="da-DK"/>
        </w:rPr>
      </w:pPr>
    </w:p>
    <w:p w14:paraId="6CC228A0" w14:textId="77777777" w:rsidR="00CC55B7" w:rsidRDefault="00CC55B7" w:rsidP="00CC55B7">
      <w:pPr>
        <w:ind w:left="360"/>
        <w:rPr>
          <w:rFonts w:eastAsia="Times New Roman" w:cs="Times New Roman"/>
          <w:color w:val="000000"/>
          <w:szCs w:val="18"/>
          <w:lang w:val="en-US" w:eastAsia="da-DK"/>
        </w:rPr>
      </w:pPr>
      <w:r>
        <w:rPr>
          <w:rFonts w:eastAsia="Times New Roman" w:cs="Times New Roman"/>
          <w:color w:val="000000"/>
          <w:szCs w:val="18"/>
          <w:lang w:val="en-US" w:eastAsia="da-DK"/>
        </w:rPr>
        <w:t>Only very few cases regarding security interests over IPRs appear to have been heard by the Danish courts. Current law regarding security interests over IPRs is the same as the law regarding security interests over tangible assets. Thus, the regulation is consistent and may as such be considered to provide sufficient certainty and predictability to the parties.</w:t>
      </w:r>
    </w:p>
    <w:p w14:paraId="6F9D8386" w14:textId="77777777" w:rsidR="00CC55B7" w:rsidRDefault="00CC55B7" w:rsidP="00CC55B7">
      <w:pPr>
        <w:rPr>
          <w:rFonts w:eastAsia="Times New Roman" w:cs="Times New Roman"/>
          <w:color w:val="000000"/>
          <w:szCs w:val="18"/>
          <w:lang w:val="en-US" w:eastAsia="da-DK"/>
        </w:rPr>
      </w:pPr>
    </w:p>
    <w:p w14:paraId="08CBA032" w14:textId="77777777" w:rsidR="00CC55B7" w:rsidRPr="00877C3F" w:rsidRDefault="00CC55B7" w:rsidP="00CC55B7">
      <w:pPr>
        <w:pStyle w:val="ListParagraph"/>
        <w:numPr>
          <w:ilvl w:val="0"/>
          <w:numId w:val="49"/>
        </w:numPr>
        <w:rPr>
          <w:rFonts w:eastAsia="Times New Roman" w:cs="Times New Roman"/>
          <w:b/>
          <w:color w:val="000000"/>
          <w:szCs w:val="18"/>
          <w:lang w:val="en-US" w:eastAsia="da-DK"/>
        </w:rPr>
      </w:pPr>
      <w:r w:rsidRPr="00877C3F">
        <w:rPr>
          <w:rFonts w:eastAsia="Times New Roman" w:cs="Times New Roman"/>
          <w:b/>
          <w:color w:val="000000"/>
          <w:szCs w:val="18"/>
          <w:lang w:val="en-US" w:eastAsia="da-DK"/>
        </w:rPr>
        <w:t>Under your Group's current law, is there an appropriate balance between the rights between security takers and security providers? For example:</w:t>
      </w:r>
    </w:p>
    <w:p w14:paraId="06CD6307" w14:textId="77777777" w:rsidR="00CC55B7" w:rsidRPr="00B425B2" w:rsidRDefault="00CC55B7" w:rsidP="00CC55B7">
      <w:pPr>
        <w:rPr>
          <w:rFonts w:eastAsia="Times New Roman" w:cs="Times New Roman"/>
          <w:b/>
          <w:color w:val="000000"/>
          <w:szCs w:val="18"/>
          <w:lang w:val="en-US" w:eastAsia="da-DK"/>
        </w:rPr>
      </w:pPr>
    </w:p>
    <w:p w14:paraId="105CB440" w14:textId="77777777" w:rsidR="00CC55B7" w:rsidRPr="00B425B2" w:rsidRDefault="00CC55B7" w:rsidP="00CC55B7">
      <w:pPr>
        <w:pStyle w:val="ListParagraph"/>
        <w:numPr>
          <w:ilvl w:val="0"/>
          <w:numId w:val="48"/>
        </w:numPr>
        <w:jc w:val="left"/>
        <w:rPr>
          <w:rFonts w:eastAsia="Times New Roman" w:cs="Times New Roman"/>
          <w:b/>
          <w:color w:val="000000"/>
          <w:szCs w:val="18"/>
          <w:lang w:val="en-US" w:eastAsia="da-DK"/>
        </w:rPr>
      </w:pPr>
      <w:r w:rsidRPr="00B425B2">
        <w:rPr>
          <w:rFonts w:eastAsia="Times New Roman" w:cs="Times New Roman"/>
          <w:b/>
          <w:color w:val="000000"/>
          <w:szCs w:val="18"/>
          <w:lang w:val="en-US" w:eastAsia="da-DK"/>
        </w:rPr>
        <w:t>Are there situations in which the rights of security takers should be limited or extended (e.g. if assignment of an encumbered IPR is possible by the security provider without involvement of the security taker)?</w:t>
      </w:r>
    </w:p>
    <w:p w14:paraId="4F7BB146" w14:textId="77777777" w:rsidR="00CC55B7" w:rsidRPr="00B0533B" w:rsidRDefault="00CC55B7" w:rsidP="00CC55B7">
      <w:pPr>
        <w:pStyle w:val="ListParagraph"/>
        <w:ind w:left="1664"/>
        <w:jc w:val="left"/>
        <w:rPr>
          <w:rFonts w:eastAsia="Times New Roman" w:cs="Times New Roman"/>
          <w:color w:val="FF0000"/>
          <w:szCs w:val="18"/>
          <w:lang w:val="en-US" w:eastAsia="da-DK"/>
        </w:rPr>
      </w:pPr>
    </w:p>
    <w:p w14:paraId="574CA2D8" w14:textId="5C592FC9" w:rsidR="00CC55B7" w:rsidRPr="00B425B2" w:rsidRDefault="00CC55B7" w:rsidP="00CC55B7">
      <w:pPr>
        <w:pStyle w:val="ListParagraph"/>
        <w:ind w:left="1352"/>
        <w:jc w:val="left"/>
        <w:rPr>
          <w:rFonts w:eastAsia="Times New Roman" w:cs="Times New Roman"/>
          <w:szCs w:val="18"/>
          <w:lang w:val="en-US" w:eastAsia="da-DK"/>
        </w:rPr>
      </w:pPr>
      <w:r w:rsidRPr="00B425B2">
        <w:rPr>
          <w:rFonts w:eastAsia="Times New Roman" w:cs="Times New Roman"/>
          <w:szCs w:val="18"/>
          <w:lang w:val="en-US" w:eastAsia="da-DK"/>
        </w:rPr>
        <w:t xml:space="preserve">No, the Danish </w:t>
      </w:r>
      <w:r>
        <w:rPr>
          <w:rFonts w:eastAsia="Times New Roman" w:cs="Times New Roman"/>
          <w:szCs w:val="18"/>
          <w:lang w:val="en-US" w:eastAsia="da-DK"/>
        </w:rPr>
        <w:t>G</w:t>
      </w:r>
      <w:r w:rsidRPr="00B425B2">
        <w:rPr>
          <w:rFonts w:eastAsia="Times New Roman" w:cs="Times New Roman"/>
          <w:szCs w:val="18"/>
          <w:lang w:val="en-US" w:eastAsia="da-DK"/>
        </w:rPr>
        <w:t>roup does not find that the rights of the security taker should be limited or extended</w:t>
      </w:r>
      <w:r>
        <w:rPr>
          <w:rFonts w:eastAsia="Times New Roman" w:cs="Times New Roman"/>
          <w:szCs w:val="18"/>
          <w:lang w:val="en-US" w:eastAsia="da-DK"/>
        </w:rPr>
        <w:t xml:space="preserve"> by law</w:t>
      </w:r>
      <w:r w:rsidR="003E42FA">
        <w:rPr>
          <w:rFonts w:eastAsia="Times New Roman" w:cs="Times New Roman"/>
          <w:szCs w:val="18"/>
          <w:lang w:val="en-US" w:eastAsia="da-DK"/>
        </w:rPr>
        <w:t xml:space="preserve">, </w:t>
      </w:r>
      <w:r>
        <w:rPr>
          <w:rFonts w:eastAsia="Times New Roman" w:cs="Times New Roman"/>
          <w:szCs w:val="18"/>
          <w:lang w:val="en-US" w:eastAsia="da-DK"/>
        </w:rPr>
        <w:t>t</w:t>
      </w:r>
      <w:r w:rsidRPr="00B425B2">
        <w:rPr>
          <w:rFonts w:eastAsia="Times New Roman" w:cs="Times New Roman"/>
          <w:szCs w:val="18"/>
          <w:lang w:val="en-US" w:eastAsia="da-DK"/>
        </w:rPr>
        <w:t>his may be done as part of the parties</w:t>
      </w:r>
      <w:r>
        <w:rPr>
          <w:rFonts w:eastAsia="Times New Roman" w:cs="Times New Roman"/>
          <w:szCs w:val="18"/>
          <w:lang w:val="en-US" w:eastAsia="da-DK"/>
        </w:rPr>
        <w:t>'</w:t>
      </w:r>
      <w:r w:rsidRPr="00B425B2">
        <w:rPr>
          <w:rFonts w:eastAsia="Times New Roman" w:cs="Times New Roman"/>
          <w:szCs w:val="18"/>
          <w:lang w:val="en-US" w:eastAsia="da-DK"/>
        </w:rPr>
        <w:t xml:space="preserve"> agreement.  </w:t>
      </w:r>
    </w:p>
    <w:p w14:paraId="32101F32" w14:textId="77777777" w:rsidR="00CC55B7" w:rsidRPr="00EE1B1A" w:rsidRDefault="00CC55B7" w:rsidP="00CC55B7">
      <w:pPr>
        <w:pStyle w:val="ListParagraph"/>
        <w:ind w:left="1664"/>
        <w:jc w:val="left"/>
        <w:rPr>
          <w:rFonts w:eastAsia="Times New Roman" w:cs="Times New Roman"/>
          <w:color w:val="FF0000"/>
          <w:szCs w:val="18"/>
          <w:lang w:val="en-US" w:eastAsia="da-DK"/>
        </w:rPr>
      </w:pPr>
    </w:p>
    <w:p w14:paraId="2F899C21" w14:textId="77777777" w:rsidR="00CC55B7" w:rsidRPr="00B425B2" w:rsidRDefault="00CC55B7" w:rsidP="00CC55B7">
      <w:pPr>
        <w:pStyle w:val="ListParagraph"/>
        <w:numPr>
          <w:ilvl w:val="0"/>
          <w:numId w:val="48"/>
        </w:numPr>
        <w:jc w:val="left"/>
        <w:rPr>
          <w:rFonts w:eastAsia="Times New Roman" w:cs="Times New Roman"/>
          <w:b/>
          <w:color w:val="000000"/>
          <w:szCs w:val="18"/>
          <w:lang w:val="en-US" w:eastAsia="da-DK"/>
        </w:rPr>
      </w:pPr>
      <w:r w:rsidRPr="00B425B2">
        <w:rPr>
          <w:rFonts w:eastAsia="Times New Roman" w:cs="Times New Roman"/>
          <w:b/>
          <w:color w:val="000000"/>
          <w:szCs w:val="18"/>
          <w:lang w:val="en-US" w:eastAsia="da-DK"/>
        </w:rPr>
        <w:t>Are there situations in which the rights of security providers should be limited or extended (e.g. if the security taker is authorized to dispose of existing licenses without involvement of the security provider)?</w:t>
      </w:r>
    </w:p>
    <w:p w14:paraId="4D376518" w14:textId="77777777" w:rsidR="00CC55B7" w:rsidRPr="00B425B2" w:rsidRDefault="00CC55B7" w:rsidP="00CC55B7">
      <w:pPr>
        <w:jc w:val="left"/>
        <w:rPr>
          <w:rFonts w:eastAsia="Times New Roman" w:cs="Times New Roman"/>
          <w:color w:val="FF0000"/>
          <w:szCs w:val="18"/>
          <w:lang w:val="en-US" w:eastAsia="da-DK"/>
        </w:rPr>
      </w:pPr>
    </w:p>
    <w:p w14:paraId="612E3204" w14:textId="496639A6" w:rsidR="00CC55B7" w:rsidRDefault="00CC55B7" w:rsidP="00CC55B7">
      <w:pPr>
        <w:pStyle w:val="ListParagraph"/>
        <w:ind w:left="1352"/>
        <w:jc w:val="left"/>
        <w:rPr>
          <w:rFonts w:eastAsia="Times New Roman" w:cs="Times New Roman"/>
          <w:color w:val="FF0000"/>
          <w:szCs w:val="18"/>
          <w:highlight w:val="yellow"/>
          <w:lang w:val="en-US" w:eastAsia="da-DK"/>
        </w:rPr>
      </w:pPr>
      <w:r w:rsidRPr="00B425B2">
        <w:rPr>
          <w:rFonts w:eastAsia="Times New Roman" w:cs="Times New Roman"/>
          <w:szCs w:val="18"/>
          <w:lang w:val="en-US" w:eastAsia="da-DK"/>
        </w:rPr>
        <w:t xml:space="preserve">No, the Danish </w:t>
      </w:r>
      <w:r>
        <w:rPr>
          <w:rFonts w:eastAsia="Times New Roman" w:cs="Times New Roman"/>
          <w:szCs w:val="18"/>
          <w:lang w:val="en-US" w:eastAsia="da-DK"/>
        </w:rPr>
        <w:t>G</w:t>
      </w:r>
      <w:r w:rsidRPr="00B425B2">
        <w:rPr>
          <w:rFonts w:eastAsia="Times New Roman" w:cs="Times New Roman"/>
          <w:szCs w:val="18"/>
          <w:lang w:val="en-US" w:eastAsia="da-DK"/>
        </w:rPr>
        <w:t>roup does not find that the rights of the security provider should be limited or extended by law</w:t>
      </w:r>
      <w:r w:rsidR="003E42FA">
        <w:rPr>
          <w:rFonts w:eastAsia="Times New Roman" w:cs="Times New Roman"/>
          <w:szCs w:val="18"/>
          <w:lang w:val="en-US" w:eastAsia="da-DK"/>
        </w:rPr>
        <w:t xml:space="preserve">, </w:t>
      </w:r>
      <w:r>
        <w:rPr>
          <w:rFonts w:eastAsia="Times New Roman" w:cs="Times New Roman"/>
          <w:szCs w:val="18"/>
          <w:lang w:val="en-US" w:eastAsia="da-DK"/>
        </w:rPr>
        <w:t>this may be done as part of the parties' agreement.</w:t>
      </w:r>
      <w:r w:rsidRPr="00877C3F">
        <w:rPr>
          <w:rFonts w:eastAsia="Times New Roman" w:cs="Times New Roman"/>
          <w:color w:val="FF0000"/>
          <w:szCs w:val="18"/>
          <w:highlight w:val="yellow"/>
          <w:lang w:val="en-US" w:eastAsia="da-DK"/>
        </w:rPr>
        <w:t xml:space="preserve"> </w:t>
      </w:r>
    </w:p>
    <w:p w14:paraId="4441BDA9" w14:textId="77777777" w:rsidR="00CC55B7" w:rsidRDefault="00CC55B7" w:rsidP="00CC55B7">
      <w:pPr>
        <w:rPr>
          <w:rFonts w:eastAsia="Times New Roman" w:cs="Times New Roman"/>
          <w:szCs w:val="18"/>
          <w:highlight w:val="yellow"/>
          <w:lang w:val="en-US" w:eastAsia="da-DK"/>
        </w:rPr>
      </w:pPr>
    </w:p>
    <w:p w14:paraId="2915E00D" w14:textId="77777777" w:rsidR="00CC55B7" w:rsidRPr="00877C3F" w:rsidRDefault="00CC55B7" w:rsidP="00CC55B7">
      <w:pPr>
        <w:pStyle w:val="ListParagraph"/>
        <w:numPr>
          <w:ilvl w:val="0"/>
          <w:numId w:val="49"/>
        </w:numPr>
        <w:rPr>
          <w:rFonts w:eastAsia="Times New Roman" w:cs="Times New Roman"/>
          <w:b/>
          <w:color w:val="000000"/>
          <w:szCs w:val="18"/>
          <w:lang w:val="en-US" w:eastAsia="da-DK"/>
        </w:rPr>
      </w:pPr>
      <w:r w:rsidRPr="00877C3F">
        <w:rPr>
          <w:rFonts w:eastAsia="Times New Roman" w:cs="Times New Roman"/>
          <w:b/>
          <w:color w:val="000000"/>
          <w:szCs w:val="18"/>
          <w:lang w:val="en-US" w:eastAsia="da-DK"/>
        </w:rPr>
        <w:t>Are there any aspects of these laws that could be improved? Are there any other changes to your Group's current law that would promote transactions involving IPRs as collateral? If yes, please briefly explain.</w:t>
      </w:r>
    </w:p>
    <w:p w14:paraId="47411C87" w14:textId="77777777" w:rsidR="00CC55B7" w:rsidRPr="00B425B2" w:rsidRDefault="00CC55B7" w:rsidP="00CC55B7">
      <w:pPr>
        <w:rPr>
          <w:rFonts w:eastAsia="Times New Roman" w:cs="Times New Roman"/>
          <w:b/>
          <w:color w:val="000000"/>
          <w:szCs w:val="18"/>
          <w:lang w:val="en-US" w:eastAsia="da-DK"/>
        </w:rPr>
      </w:pPr>
    </w:p>
    <w:p w14:paraId="27F03DA9" w14:textId="77777777" w:rsidR="00CC55B7" w:rsidRDefault="00CC55B7" w:rsidP="00CC55B7">
      <w:pPr>
        <w:ind w:left="360"/>
        <w:rPr>
          <w:rFonts w:eastAsia="Times New Roman" w:cs="Times New Roman"/>
          <w:szCs w:val="18"/>
          <w:lang w:val="en-US" w:eastAsia="da-DK"/>
        </w:rPr>
      </w:pPr>
      <w:r w:rsidRPr="00B425B2">
        <w:rPr>
          <w:rFonts w:eastAsia="Times New Roman" w:cs="Times New Roman"/>
          <w:szCs w:val="18"/>
          <w:lang w:val="en-US" w:eastAsia="da-DK"/>
        </w:rPr>
        <w:t>In Denmark</w:t>
      </w:r>
      <w:r>
        <w:rPr>
          <w:rFonts w:eastAsia="Times New Roman" w:cs="Times New Roman"/>
          <w:szCs w:val="18"/>
          <w:lang w:val="en-US" w:eastAsia="da-DK"/>
        </w:rPr>
        <w:t>,</w:t>
      </w:r>
      <w:r w:rsidRPr="00B425B2">
        <w:rPr>
          <w:rFonts w:eastAsia="Times New Roman" w:cs="Times New Roman"/>
          <w:szCs w:val="18"/>
          <w:lang w:val="en-US" w:eastAsia="da-DK"/>
        </w:rPr>
        <w:t xml:space="preserve"> it is quite expensive to register a charge in the Danish register of marriage contracts, chattel mortgages and declarations of legal incapacity. The Danish </w:t>
      </w:r>
      <w:r>
        <w:rPr>
          <w:rFonts w:eastAsia="Times New Roman" w:cs="Times New Roman"/>
          <w:szCs w:val="18"/>
          <w:lang w:val="en-US" w:eastAsia="da-DK"/>
        </w:rPr>
        <w:t>G</w:t>
      </w:r>
      <w:r w:rsidRPr="00B425B2">
        <w:rPr>
          <w:rFonts w:eastAsia="Times New Roman" w:cs="Times New Roman"/>
          <w:szCs w:val="18"/>
          <w:lang w:val="en-US" w:eastAsia="da-DK"/>
        </w:rPr>
        <w:t xml:space="preserve">roup considers that it might promote the use of IPRs as collateral if it was less </w:t>
      </w:r>
      <w:r>
        <w:rPr>
          <w:rFonts w:eastAsia="Times New Roman" w:cs="Times New Roman"/>
          <w:szCs w:val="18"/>
          <w:lang w:val="en-US" w:eastAsia="da-DK"/>
        </w:rPr>
        <w:t>costly</w:t>
      </w:r>
      <w:r w:rsidRPr="00B425B2">
        <w:rPr>
          <w:rFonts w:eastAsia="Times New Roman" w:cs="Times New Roman"/>
          <w:szCs w:val="18"/>
          <w:lang w:val="en-US" w:eastAsia="da-DK"/>
        </w:rPr>
        <w:t xml:space="preserve"> to register the charge. </w:t>
      </w:r>
    </w:p>
    <w:p w14:paraId="467A5556" w14:textId="77777777" w:rsidR="00CC55B7" w:rsidRPr="00B425B2" w:rsidRDefault="00CC55B7" w:rsidP="00CC55B7">
      <w:pPr>
        <w:rPr>
          <w:rFonts w:eastAsia="Times New Roman" w:cs="Times New Roman"/>
          <w:szCs w:val="18"/>
          <w:lang w:val="en-US" w:eastAsia="da-DK"/>
        </w:rPr>
      </w:pPr>
    </w:p>
    <w:p w14:paraId="5E288F05" w14:textId="2323BD5D" w:rsidR="00CC55B7" w:rsidRDefault="00CC55B7" w:rsidP="00CC55B7">
      <w:pPr>
        <w:ind w:left="360"/>
        <w:rPr>
          <w:rFonts w:eastAsia="Times New Roman" w:cs="Times New Roman"/>
          <w:szCs w:val="18"/>
          <w:lang w:val="en-US" w:eastAsia="da-DK"/>
        </w:rPr>
      </w:pPr>
      <w:r w:rsidRPr="00B425B2">
        <w:rPr>
          <w:rFonts w:eastAsia="Times New Roman" w:cs="Times New Roman"/>
          <w:szCs w:val="18"/>
          <w:lang w:val="en-US" w:eastAsia="da-DK"/>
        </w:rPr>
        <w:t xml:space="preserve">At </w:t>
      </w:r>
      <w:r>
        <w:rPr>
          <w:rFonts w:eastAsia="Times New Roman" w:cs="Times New Roman"/>
          <w:szCs w:val="18"/>
          <w:lang w:val="en-US" w:eastAsia="da-DK"/>
        </w:rPr>
        <w:t>an</w:t>
      </w:r>
      <w:r w:rsidRPr="00B425B2">
        <w:rPr>
          <w:rFonts w:eastAsia="Times New Roman" w:cs="Times New Roman"/>
          <w:szCs w:val="18"/>
          <w:lang w:val="en-US" w:eastAsia="da-DK"/>
        </w:rPr>
        <w:t xml:space="preserve"> international level, the Danish </w:t>
      </w:r>
      <w:r>
        <w:rPr>
          <w:rFonts w:eastAsia="Times New Roman" w:cs="Times New Roman"/>
          <w:szCs w:val="18"/>
          <w:lang w:val="en-US" w:eastAsia="da-DK"/>
        </w:rPr>
        <w:t>G</w:t>
      </w:r>
      <w:r w:rsidRPr="00B425B2">
        <w:rPr>
          <w:rFonts w:eastAsia="Times New Roman" w:cs="Times New Roman"/>
          <w:szCs w:val="18"/>
          <w:lang w:val="en-US" w:eastAsia="da-DK"/>
        </w:rPr>
        <w:t>roup finds that it is cumbersome that registration of security interests over IPRs has to be done in different countries as</w:t>
      </w:r>
      <w:r>
        <w:rPr>
          <w:rFonts w:eastAsia="Times New Roman" w:cs="Times New Roman"/>
          <w:szCs w:val="18"/>
          <w:lang w:val="en-US" w:eastAsia="da-DK"/>
        </w:rPr>
        <w:t xml:space="preserve"> is the case now.</w:t>
      </w:r>
      <w:r w:rsidRPr="00B425B2">
        <w:rPr>
          <w:rFonts w:eastAsia="Times New Roman" w:cs="Times New Roman"/>
          <w:szCs w:val="18"/>
          <w:lang w:val="en-US" w:eastAsia="da-DK"/>
        </w:rPr>
        <w:t xml:space="preserve"> The Danish </w:t>
      </w:r>
      <w:r>
        <w:rPr>
          <w:rFonts w:eastAsia="Times New Roman" w:cs="Times New Roman"/>
          <w:szCs w:val="18"/>
          <w:lang w:val="en-US" w:eastAsia="da-DK"/>
        </w:rPr>
        <w:t>G</w:t>
      </w:r>
      <w:r w:rsidRPr="00B425B2">
        <w:rPr>
          <w:rFonts w:eastAsia="Times New Roman" w:cs="Times New Roman"/>
          <w:szCs w:val="18"/>
          <w:lang w:val="en-US" w:eastAsia="da-DK"/>
        </w:rPr>
        <w:t>roup considers that it might promote transactions involving IPRs as collateral if the registration proc</w:t>
      </w:r>
      <w:r>
        <w:rPr>
          <w:rFonts w:eastAsia="Times New Roman" w:cs="Times New Roman"/>
          <w:szCs w:val="18"/>
          <w:lang w:val="en-US" w:eastAsia="da-DK"/>
        </w:rPr>
        <w:t>ess was less complicated and ext</w:t>
      </w:r>
      <w:r w:rsidRPr="00B425B2">
        <w:rPr>
          <w:rFonts w:eastAsia="Times New Roman" w:cs="Times New Roman"/>
          <w:szCs w:val="18"/>
          <w:lang w:val="en-US" w:eastAsia="da-DK"/>
        </w:rPr>
        <w:t>ensive</w:t>
      </w:r>
      <w:r w:rsidR="002A5083">
        <w:rPr>
          <w:rFonts w:eastAsia="Times New Roman" w:cs="Times New Roman"/>
          <w:szCs w:val="18"/>
          <w:lang w:val="en-US" w:eastAsia="da-DK"/>
        </w:rPr>
        <w:t>.</w:t>
      </w:r>
      <w:r>
        <w:rPr>
          <w:rFonts w:eastAsia="Times New Roman" w:cs="Times New Roman"/>
          <w:szCs w:val="18"/>
          <w:lang w:val="en-US" w:eastAsia="da-DK"/>
        </w:rPr>
        <w:t xml:space="preserve"> </w:t>
      </w:r>
    </w:p>
    <w:p w14:paraId="5503974B" w14:textId="77777777" w:rsidR="00CC55B7" w:rsidRDefault="00CC55B7" w:rsidP="00CC55B7">
      <w:pPr>
        <w:ind w:left="360"/>
        <w:rPr>
          <w:rFonts w:eastAsia="Times New Roman" w:cs="Times New Roman"/>
          <w:szCs w:val="18"/>
          <w:lang w:val="en-US" w:eastAsia="da-DK"/>
        </w:rPr>
      </w:pPr>
    </w:p>
    <w:p w14:paraId="05D00858" w14:textId="11E4553A" w:rsidR="00CC55B7" w:rsidRDefault="00CC55B7" w:rsidP="00CC55B7">
      <w:pPr>
        <w:ind w:left="360"/>
        <w:rPr>
          <w:lang w:val="en-US"/>
        </w:rPr>
      </w:pPr>
      <w:r>
        <w:rPr>
          <w:lang w:val="en-US"/>
        </w:rPr>
        <w:t>The Danish Group also considers it an improvement of the current law, if, by law, the security taker was granted a right to be notified about any official challenges of the encumbered IPR</w:t>
      </w:r>
      <w:r w:rsidR="00057982">
        <w:rPr>
          <w:lang w:val="en-US"/>
        </w:rPr>
        <w:t xml:space="preserve"> (see our comments to Question 27)</w:t>
      </w:r>
      <w:r>
        <w:rPr>
          <w:lang w:val="en-US"/>
        </w:rPr>
        <w:t>.</w:t>
      </w:r>
    </w:p>
    <w:p w14:paraId="18DCC142" w14:textId="77777777" w:rsidR="00CC55B7" w:rsidRPr="00FF216D" w:rsidRDefault="00CC55B7" w:rsidP="00CC55B7">
      <w:pPr>
        <w:ind w:left="360"/>
        <w:rPr>
          <w:rFonts w:eastAsia="Times New Roman" w:cs="Times New Roman"/>
          <w:sz w:val="20"/>
          <w:szCs w:val="20"/>
          <w:lang w:val="en-US" w:eastAsia="da-DK"/>
        </w:rPr>
      </w:pPr>
      <w:r w:rsidRPr="0071018C" w:rsidDel="00FF216D">
        <w:rPr>
          <w:rFonts w:eastAsia="Times New Roman" w:cs="Times New Roman"/>
          <w:szCs w:val="18"/>
          <w:highlight w:val="yellow"/>
          <w:lang w:val="en-US" w:eastAsia="da-DK"/>
        </w:rPr>
        <w:t xml:space="preserve"> </w:t>
      </w:r>
    </w:p>
    <w:p w14:paraId="67EEB7AC" w14:textId="77777777" w:rsidR="00CC55B7" w:rsidRDefault="00CC55B7" w:rsidP="00CC55B7">
      <w:pPr>
        <w:rPr>
          <w:rFonts w:eastAsia="Times New Roman" w:cs="Times New Roman"/>
          <w:b/>
          <w:color w:val="000000"/>
          <w:sz w:val="20"/>
          <w:szCs w:val="20"/>
          <w:lang w:val="en-US" w:eastAsia="da-DK"/>
        </w:rPr>
      </w:pPr>
      <w:r w:rsidRPr="00C60A05">
        <w:rPr>
          <w:rFonts w:eastAsia="Times New Roman" w:cs="Times New Roman"/>
          <w:b/>
          <w:color w:val="000000"/>
          <w:sz w:val="20"/>
          <w:szCs w:val="20"/>
          <w:lang w:val="en-US" w:eastAsia="da-DK"/>
        </w:rPr>
        <w:t xml:space="preserve">III. Proposals for </w:t>
      </w:r>
      <w:r>
        <w:rPr>
          <w:rFonts w:eastAsia="Times New Roman" w:cs="Times New Roman"/>
          <w:b/>
          <w:color w:val="000000"/>
          <w:sz w:val="20"/>
          <w:szCs w:val="20"/>
          <w:lang w:val="en-US" w:eastAsia="da-DK"/>
        </w:rPr>
        <w:t>harmonization</w:t>
      </w:r>
    </w:p>
    <w:p w14:paraId="4C093240" w14:textId="77777777" w:rsidR="00CC55B7" w:rsidRDefault="00CC55B7" w:rsidP="00CC55B7">
      <w:pPr>
        <w:rPr>
          <w:rFonts w:eastAsia="Times New Roman" w:cs="Times New Roman"/>
          <w:b/>
          <w:color w:val="000000"/>
          <w:sz w:val="20"/>
          <w:szCs w:val="20"/>
          <w:lang w:val="en-US" w:eastAsia="da-DK"/>
        </w:rPr>
      </w:pPr>
    </w:p>
    <w:p w14:paraId="17D9A941" w14:textId="77777777" w:rsidR="00CC55B7" w:rsidRDefault="00CC55B7" w:rsidP="00CC55B7">
      <w:pPr>
        <w:pStyle w:val="ListParagraph"/>
        <w:numPr>
          <w:ilvl w:val="0"/>
          <w:numId w:val="49"/>
        </w:numPr>
        <w:rPr>
          <w:rFonts w:eastAsia="Times New Roman" w:cs="Times New Roman"/>
          <w:b/>
          <w:color w:val="000000"/>
          <w:szCs w:val="18"/>
          <w:lang w:val="en-US" w:eastAsia="da-DK"/>
        </w:rPr>
      </w:pPr>
      <w:r w:rsidRPr="00B425B2">
        <w:rPr>
          <w:rFonts w:eastAsia="Times New Roman" w:cs="Times New Roman"/>
          <w:b/>
          <w:color w:val="000000"/>
          <w:szCs w:val="18"/>
          <w:lang w:val="en-US" w:eastAsia="da-DK"/>
        </w:rPr>
        <w:t>Does your Group consider that harmonization of laws concerning security interests over IPRs is desirable?</w:t>
      </w:r>
    </w:p>
    <w:p w14:paraId="143EDA96" w14:textId="77777777" w:rsidR="00CC55B7" w:rsidRPr="00877C3F" w:rsidRDefault="00CC55B7" w:rsidP="00CC55B7">
      <w:pPr>
        <w:pStyle w:val="ListParagraph"/>
        <w:ind w:left="360"/>
        <w:rPr>
          <w:rFonts w:eastAsia="Times New Roman" w:cs="Times New Roman"/>
          <w:b/>
          <w:color w:val="000000"/>
          <w:szCs w:val="18"/>
          <w:lang w:val="en-US" w:eastAsia="da-DK"/>
        </w:rPr>
      </w:pPr>
    </w:p>
    <w:p w14:paraId="4A547A44" w14:textId="77777777" w:rsidR="00CC55B7" w:rsidRDefault="00CC55B7" w:rsidP="00CC55B7">
      <w:pPr>
        <w:ind w:left="360"/>
        <w:rPr>
          <w:rFonts w:eastAsia="Times New Roman" w:cs="Times New Roman"/>
          <w:szCs w:val="18"/>
          <w:lang w:val="en-US" w:eastAsia="da-DK"/>
        </w:rPr>
      </w:pPr>
      <w:r w:rsidRPr="00B425B2">
        <w:rPr>
          <w:rFonts w:eastAsia="Times New Roman" w:cs="Times New Roman"/>
          <w:szCs w:val="18"/>
          <w:lang w:val="en-US" w:eastAsia="da-DK"/>
        </w:rPr>
        <w:t xml:space="preserve">Yes, the Danish </w:t>
      </w:r>
      <w:r>
        <w:rPr>
          <w:rFonts w:eastAsia="Times New Roman" w:cs="Times New Roman"/>
          <w:szCs w:val="18"/>
          <w:lang w:val="en-US" w:eastAsia="da-DK"/>
        </w:rPr>
        <w:t>G</w:t>
      </w:r>
      <w:r w:rsidRPr="00B425B2">
        <w:rPr>
          <w:rFonts w:eastAsia="Times New Roman" w:cs="Times New Roman"/>
          <w:szCs w:val="18"/>
          <w:lang w:val="en-US" w:eastAsia="da-DK"/>
        </w:rPr>
        <w:t xml:space="preserve">roup considers that harmonization of laws concerning security interests over IPRs is desirable. </w:t>
      </w:r>
    </w:p>
    <w:p w14:paraId="25E37160" w14:textId="77777777" w:rsidR="00CC55B7" w:rsidRPr="00B425B2" w:rsidRDefault="00CC55B7" w:rsidP="00CC55B7">
      <w:pPr>
        <w:rPr>
          <w:rFonts w:eastAsia="Times New Roman" w:cs="Times New Roman"/>
          <w:szCs w:val="18"/>
          <w:lang w:val="en-US" w:eastAsia="da-DK"/>
        </w:rPr>
      </w:pPr>
    </w:p>
    <w:p w14:paraId="21812E38" w14:textId="77777777" w:rsidR="00CC55B7" w:rsidRDefault="00CC55B7" w:rsidP="00CC55B7">
      <w:pPr>
        <w:outlineLvl w:val="0"/>
        <w:rPr>
          <w:rFonts w:eastAsia="Times New Roman" w:cs="Times New Roman"/>
          <w:b/>
          <w:color w:val="000000"/>
          <w:szCs w:val="18"/>
          <w:u w:val="single"/>
          <w:lang w:val="en-US" w:eastAsia="da-DK"/>
        </w:rPr>
      </w:pPr>
      <w:r w:rsidRPr="00960F6F">
        <w:rPr>
          <w:rFonts w:eastAsia="Times New Roman" w:cs="Times New Roman"/>
          <w:b/>
          <w:color w:val="000000"/>
          <w:szCs w:val="18"/>
          <w:u w:val="single"/>
          <w:lang w:val="en-US" w:eastAsia="da-DK"/>
        </w:rPr>
        <w:t>Security system regarding IPRs</w:t>
      </w:r>
    </w:p>
    <w:p w14:paraId="73D6D29D" w14:textId="77777777" w:rsidR="00CC55B7" w:rsidRDefault="00CC55B7" w:rsidP="00CC55B7">
      <w:pPr>
        <w:outlineLvl w:val="0"/>
        <w:rPr>
          <w:rFonts w:eastAsia="Times New Roman" w:cs="Times New Roman"/>
          <w:b/>
          <w:color w:val="000000"/>
          <w:szCs w:val="18"/>
          <w:u w:val="single"/>
          <w:lang w:val="en-US" w:eastAsia="da-DK"/>
        </w:rPr>
      </w:pPr>
    </w:p>
    <w:p w14:paraId="135ABAB0" w14:textId="77777777" w:rsidR="00CC55B7" w:rsidRDefault="00CC55B7" w:rsidP="00CC55B7">
      <w:pPr>
        <w:pStyle w:val="ListParagraph"/>
        <w:numPr>
          <w:ilvl w:val="0"/>
          <w:numId w:val="49"/>
        </w:numPr>
        <w:rPr>
          <w:rFonts w:eastAsia="Times New Roman" w:cs="Times New Roman"/>
          <w:b/>
          <w:color w:val="000000"/>
          <w:szCs w:val="18"/>
          <w:lang w:val="en-US" w:eastAsia="da-DK"/>
        </w:rPr>
      </w:pPr>
      <w:r w:rsidRPr="00877C3F">
        <w:rPr>
          <w:rFonts w:eastAsia="Times New Roman" w:cs="Times New Roman"/>
          <w:b/>
          <w:color w:val="000000"/>
          <w:szCs w:val="18"/>
          <w:lang w:val="en-US" w:eastAsia="da-DK"/>
        </w:rPr>
        <w:t>Should there be specific provisions regulating security interests over IPRs (i.e. separate from security interests over tangible property) generally?</w:t>
      </w:r>
    </w:p>
    <w:p w14:paraId="1AB8A9E9" w14:textId="77777777" w:rsidR="00CC55B7" w:rsidRPr="00877C3F" w:rsidRDefault="00CC55B7" w:rsidP="00CC55B7">
      <w:pPr>
        <w:pStyle w:val="ListParagraph"/>
        <w:ind w:left="360"/>
        <w:rPr>
          <w:rFonts w:eastAsia="Times New Roman" w:cs="Times New Roman"/>
          <w:b/>
          <w:color w:val="000000"/>
          <w:szCs w:val="18"/>
          <w:lang w:val="en-US" w:eastAsia="da-DK"/>
        </w:rPr>
      </w:pPr>
    </w:p>
    <w:p w14:paraId="395B1D6C" w14:textId="2D24593A" w:rsidR="00CC55B7" w:rsidRDefault="00CC55B7" w:rsidP="00CC55B7">
      <w:pPr>
        <w:ind w:left="360"/>
        <w:rPr>
          <w:rFonts w:eastAsia="Times New Roman" w:cs="Times New Roman"/>
          <w:szCs w:val="18"/>
          <w:lang w:val="en-US" w:eastAsia="da-DK"/>
        </w:rPr>
      </w:pPr>
      <w:r w:rsidRPr="00B37E70">
        <w:rPr>
          <w:rFonts w:eastAsia="Times New Roman" w:cs="Times New Roman"/>
          <w:szCs w:val="18"/>
          <w:lang w:val="en-US" w:eastAsia="da-DK"/>
        </w:rPr>
        <w:t>No, there should not be specific provisions regulating security interests over</w:t>
      </w:r>
      <w:r>
        <w:rPr>
          <w:rFonts w:eastAsia="Times New Roman" w:cs="Times New Roman"/>
          <w:szCs w:val="18"/>
          <w:lang w:val="en-US" w:eastAsia="da-DK"/>
        </w:rPr>
        <w:t xml:space="preserve"> (national)</w:t>
      </w:r>
      <w:r w:rsidRPr="00B37E70">
        <w:rPr>
          <w:rFonts w:eastAsia="Times New Roman" w:cs="Times New Roman"/>
          <w:szCs w:val="18"/>
          <w:lang w:val="en-US" w:eastAsia="da-DK"/>
        </w:rPr>
        <w:t xml:space="preserve"> IPRs</w:t>
      </w:r>
      <w:r>
        <w:rPr>
          <w:rFonts w:eastAsia="Times New Roman" w:cs="Times New Roman"/>
          <w:szCs w:val="18"/>
          <w:lang w:val="en-US" w:eastAsia="da-DK"/>
        </w:rPr>
        <w:t xml:space="preserve">, unless </w:t>
      </w:r>
      <w:r>
        <w:rPr>
          <w:lang w:val="en-US"/>
        </w:rPr>
        <w:t>the perfection of security interest can be harmonized, and for example performed by notification to the registration authority in the country/territory where the particular IPR is registered</w:t>
      </w:r>
      <w:r w:rsidRPr="00B37E70">
        <w:rPr>
          <w:rFonts w:eastAsia="Times New Roman" w:cs="Times New Roman"/>
          <w:szCs w:val="18"/>
          <w:lang w:val="en-US" w:eastAsia="da-DK"/>
        </w:rPr>
        <w:t xml:space="preserve"> </w:t>
      </w:r>
      <w:r>
        <w:rPr>
          <w:rFonts w:eastAsia="Times New Roman" w:cs="Times New Roman"/>
          <w:szCs w:val="18"/>
          <w:lang w:val="en-US" w:eastAsia="da-DK"/>
        </w:rPr>
        <w:t xml:space="preserve">(see our comments </w:t>
      </w:r>
      <w:r w:rsidR="002A5083">
        <w:rPr>
          <w:rFonts w:eastAsia="Times New Roman" w:cs="Times New Roman"/>
          <w:szCs w:val="18"/>
          <w:lang w:val="en-US" w:eastAsia="da-DK"/>
        </w:rPr>
        <w:t xml:space="preserve">to </w:t>
      </w:r>
      <w:r>
        <w:rPr>
          <w:rFonts w:eastAsia="Times New Roman" w:cs="Times New Roman"/>
          <w:szCs w:val="18"/>
          <w:lang w:val="en-US" w:eastAsia="da-DK"/>
        </w:rPr>
        <w:t>Question 32)</w:t>
      </w:r>
      <w:r w:rsidRPr="00B425B2">
        <w:rPr>
          <w:rFonts w:eastAsia="Times New Roman" w:cs="Times New Roman"/>
          <w:szCs w:val="18"/>
          <w:lang w:val="en-US" w:eastAsia="da-DK"/>
        </w:rPr>
        <w:t xml:space="preserve">.  </w:t>
      </w:r>
    </w:p>
    <w:p w14:paraId="7784808A" w14:textId="77777777" w:rsidR="00CC55B7" w:rsidRDefault="00CC55B7" w:rsidP="00CC55B7">
      <w:pPr>
        <w:rPr>
          <w:rFonts w:eastAsia="Times New Roman" w:cs="Times New Roman"/>
          <w:szCs w:val="18"/>
          <w:lang w:val="en-US" w:eastAsia="da-DK"/>
        </w:rPr>
      </w:pPr>
    </w:p>
    <w:p w14:paraId="314412D6" w14:textId="77777777" w:rsidR="00CC55B7" w:rsidRPr="00877C3F" w:rsidRDefault="00CC55B7" w:rsidP="00CC55B7">
      <w:pPr>
        <w:pStyle w:val="ListParagraph"/>
        <w:numPr>
          <w:ilvl w:val="0"/>
          <w:numId w:val="49"/>
        </w:numPr>
        <w:rPr>
          <w:rFonts w:eastAsia="Times New Roman" w:cs="Times New Roman"/>
          <w:b/>
          <w:color w:val="000000"/>
          <w:szCs w:val="18"/>
          <w:lang w:val="en-US" w:eastAsia="da-DK"/>
        </w:rPr>
      </w:pPr>
      <w:r>
        <w:rPr>
          <w:rFonts w:eastAsia="Times New Roman" w:cs="Times New Roman"/>
          <w:b/>
          <w:color w:val="000000"/>
          <w:szCs w:val="18"/>
          <w:lang w:val="en-US" w:eastAsia="da-DK"/>
        </w:rPr>
        <w:t xml:space="preserve"> </w:t>
      </w:r>
      <w:r w:rsidRPr="00877C3F">
        <w:rPr>
          <w:rFonts w:eastAsia="Times New Roman" w:cs="Times New Roman"/>
          <w:b/>
          <w:color w:val="000000"/>
          <w:szCs w:val="18"/>
          <w:lang w:val="en-US" w:eastAsia="da-DK"/>
        </w:rPr>
        <w:t>If no, should there be general commercial law principles that also apply to IPRs? If not, why?</w:t>
      </w:r>
    </w:p>
    <w:p w14:paraId="1B937A61" w14:textId="77777777" w:rsidR="00CC55B7" w:rsidRPr="00B37E70" w:rsidRDefault="00CC55B7" w:rsidP="00CC55B7">
      <w:pPr>
        <w:rPr>
          <w:rFonts w:eastAsia="Times New Roman" w:cs="Times New Roman"/>
          <w:b/>
          <w:color w:val="000000"/>
          <w:szCs w:val="18"/>
          <w:lang w:val="en-US" w:eastAsia="da-DK"/>
        </w:rPr>
      </w:pPr>
    </w:p>
    <w:p w14:paraId="03CA9E87" w14:textId="5B591DA5" w:rsidR="00CC55B7" w:rsidRDefault="00CC55B7" w:rsidP="00CC55B7">
      <w:pPr>
        <w:ind w:left="360"/>
        <w:rPr>
          <w:rFonts w:eastAsia="Times New Roman" w:cs="Times New Roman"/>
          <w:szCs w:val="18"/>
          <w:lang w:val="en-US" w:eastAsia="da-DK"/>
        </w:rPr>
      </w:pPr>
      <w:r w:rsidRPr="00B37E70">
        <w:rPr>
          <w:rFonts w:eastAsia="Times New Roman" w:cs="Times New Roman"/>
          <w:szCs w:val="18"/>
          <w:lang w:val="en-US" w:eastAsia="da-DK"/>
        </w:rPr>
        <w:t>Yes, there should be general commercial law principles that also apply to IPRs - as the current situation</w:t>
      </w:r>
      <w:r w:rsidR="002A5083">
        <w:rPr>
          <w:rFonts w:eastAsia="Times New Roman" w:cs="Times New Roman"/>
          <w:szCs w:val="18"/>
          <w:lang w:val="en-US" w:eastAsia="da-DK"/>
        </w:rPr>
        <w:t xml:space="preserve"> is</w:t>
      </w:r>
      <w:r w:rsidRPr="00B37E70">
        <w:rPr>
          <w:rFonts w:eastAsia="Times New Roman" w:cs="Times New Roman"/>
          <w:szCs w:val="18"/>
          <w:lang w:val="en-US" w:eastAsia="da-DK"/>
        </w:rPr>
        <w:t xml:space="preserve"> in Denmark. </w:t>
      </w:r>
    </w:p>
    <w:p w14:paraId="0F3058DE" w14:textId="77777777" w:rsidR="00CC55B7" w:rsidRDefault="00CC55B7" w:rsidP="00CC55B7">
      <w:pPr>
        <w:rPr>
          <w:rFonts w:eastAsia="Times New Roman" w:cs="Times New Roman"/>
          <w:szCs w:val="18"/>
          <w:lang w:val="en-US" w:eastAsia="da-DK"/>
        </w:rPr>
      </w:pPr>
    </w:p>
    <w:p w14:paraId="4CCDFC7D" w14:textId="77777777" w:rsidR="00CC55B7" w:rsidRPr="00877C3F" w:rsidRDefault="00CC55B7" w:rsidP="00CC55B7">
      <w:pPr>
        <w:pStyle w:val="ListParagraph"/>
        <w:numPr>
          <w:ilvl w:val="0"/>
          <w:numId w:val="49"/>
        </w:numPr>
        <w:rPr>
          <w:rFonts w:eastAsia="Times New Roman" w:cs="Times New Roman"/>
          <w:b/>
          <w:szCs w:val="18"/>
          <w:lang w:val="en-US" w:eastAsia="da-DK"/>
        </w:rPr>
      </w:pPr>
      <w:r w:rsidRPr="00877C3F">
        <w:rPr>
          <w:rFonts w:eastAsia="Times New Roman" w:cs="Times New Roman"/>
          <w:b/>
          <w:color w:val="000000"/>
          <w:szCs w:val="18"/>
          <w:lang w:val="en-US" w:eastAsia="da-DK"/>
        </w:rPr>
        <w:t>What types of security interests should be available as minimum standard in all countries?</w:t>
      </w:r>
    </w:p>
    <w:p w14:paraId="155C17F6" w14:textId="77777777" w:rsidR="00CC55B7" w:rsidRPr="00B37E70" w:rsidRDefault="00CC55B7" w:rsidP="00CC55B7">
      <w:pPr>
        <w:rPr>
          <w:rFonts w:eastAsia="Times New Roman" w:cs="Times New Roman"/>
          <w:b/>
          <w:color w:val="000000"/>
          <w:szCs w:val="18"/>
          <w:lang w:val="en-US" w:eastAsia="da-DK"/>
        </w:rPr>
      </w:pPr>
    </w:p>
    <w:p w14:paraId="090FF5F6" w14:textId="1BD6BFC0" w:rsidR="00CC55B7" w:rsidRDefault="00CC55B7" w:rsidP="00CC55B7">
      <w:pPr>
        <w:ind w:left="360"/>
        <w:rPr>
          <w:rFonts w:eastAsia="Times New Roman" w:cs="Times New Roman"/>
          <w:szCs w:val="18"/>
          <w:lang w:val="en-US" w:eastAsia="da-DK"/>
        </w:rPr>
      </w:pPr>
      <w:r w:rsidRPr="00B37E70">
        <w:rPr>
          <w:rFonts w:eastAsia="Times New Roman" w:cs="Times New Roman"/>
          <w:szCs w:val="18"/>
          <w:lang w:val="en-US" w:eastAsia="da-DK"/>
        </w:rPr>
        <w:lastRenderedPageBreak/>
        <w:t>The Danish group finds that</w:t>
      </w:r>
      <w:r w:rsidR="006D1FC1">
        <w:rPr>
          <w:rFonts w:eastAsia="Times New Roman" w:cs="Times New Roman"/>
          <w:szCs w:val="18"/>
          <w:lang w:val="en-US" w:eastAsia="da-DK"/>
        </w:rPr>
        <w:t xml:space="preserve"> both fixed charge</w:t>
      </w:r>
      <w:r w:rsidR="00EE0C7A">
        <w:rPr>
          <w:rFonts w:eastAsia="Times New Roman" w:cs="Times New Roman"/>
          <w:szCs w:val="18"/>
          <w:lang w:val="en-US" w:eastAsia="da-DK"/>
        </w:rPr>
        <w:t>s</w:t>
      </w:r>
      <w:r w:rsidR="006D1FC1">
        <w:rPr>
          <w:rFonts w:eastAsia="Times New Roman" w:cs="Times New Roman"/>
          <w:szCs w:val="18"/>
          <w:lang w:val="en-US" w:eastAsia="da-DK"/>
        </w:rPr>
        <w:t xml:space="preserve"> and floating charge</w:t>
      </w:r>
      <w:r w:rsidR="00EE0C7A">
        <w:rPr>
          <w:rFonts w:eastAsia="Times New Roman" w:cs="Times New Roman"/>
          <w:szCs w:val="18"/>
          <w:lang w:val="en-US" w:eastAsia="da-DK"/>
        </w:rPr>
        <w:t>s</w:t>
      </w:r>
      <w:r w:rsidRPr="00B37E70">
        <w:rPr>
          <w:rFonts w:eastAsia="Times New Roman" w:cs="Times New Roman"/>
          <w:szCs w:val="18"/>
          <w:lang w:val="en-US" w:eastAsia="da-DK"/>
        </w:rPr>
        <w:t xml:space="preserve"> should be available as minimum standard in all countries. </w:t>
      </w:r>
    </w:p>
    <w:p w14:paraId="445B9DAF" w14:textId="77777777" w:rsidR="00CC55B7" w:rsidRDefault="00CC55B7" w:rsidP="00CC55B7">
      <w:pPr>
        <w:rPr>
          <w:rFonts w:eastAsia="Times New Roman" w:cs="Times New Roman"/>
          <w:szCs w:val="18"/>
          <w:lang w:val="en-US" w:eastAsia="da-DK"/>
        </w:rPr>
      </w:pPr>
    </w:p>
    <w:p w14:paraId="09BD08B6" w14:textId="77777777" w:rsidR="00CC55B7" w:rsidRPr="00877C3F" w:rsidRDefault="00CC55B7" w:rsidP="00CC55B7">
      <w:pPr>
        <w:pStyle w:val="ListParagraph"/>
        <w:numPr>
          <w:ilvl w:val="0"/>
          <w:numId w:val="49"/>
        </w:numPr>
        <w:rPr>
          <w:rFonts w:eastAsia="Times New Roman" w:cs="Times New Roman"/>
          <w:b/>
          <w:szCs w:val="18"/>
          <w:lang w:val="en-US" w:eastAsia="da-DK"/>
        </w:rPr>
      </w:pPr>
      <w:r>
        <w:rPr>
          <w:rFonts w:eastAsia="Times New Roman" w:cs="Times New Roman"/>
          <w:b/>
          <w:szCs w:val="18"/>
          <w:lang w:val="en-US" w:eastAsia="da-DK"/>
        </w:rPr>
        <w:t xml:space="preserve"> </w:t>
      </w:r>
      <w:r w:rsidRPr="00B37E70">
        <w:rPr>
          <w:rFonts w:eastAsia="Times New Roman" w:cs="Times New Roman"/>
          <w:b/>
          <w:color w:val="000000"/>
          <w:szCs w:val="18"/>
          <w:lang w:val="en-US" w:eastAsia="da-DK"/>
        </w:rPr>
        <w:t>Should the law be applied differently depending on the type of IPR? For example, should patents be encumbered exclusively with pledges, should trademarks be assigned to the security taker for the purpose of security?</w:t>
      </w:r>
    </w:p>
    <w:p w14:paraId="3403E232" w14:textId="77777777" w:rsidR="00CC55B7" w:rsidRPr="00B37E70" w:rsidRDefault="00CC55B7" w:rsidP="00CC55B7">
      <w:pPr>
        <w:rPr>
          <w:rFonts w:eastAsia="Times New Roman" w:cs="Times New Roman"/>
          <w:b/>
          <w:color w:val="000000"/>
          <w:szCs w:val="18"/>
          <w:lang w:val="en-US" w:eastAsia="da-DK"/>
        </w:rPr>
      </w:pPr>
    </w:p>
    <w:p w14:paraId="140954DC" w14:textId="77777777" w:rsidR="00CC55B7" w:rsidRPr="00B37E70" w:rsidRDefault="00CC55B7" w:rsidP="00CC55B7">
      <w:pPr>
        <w:ind w:firstLine="360"/>
        <w:rPr>
          <w:rFonts w:eastAsia="Times New Roman" w:cs="Times New Roman"/>
          <w:szCs w:val="18"/>
          <w:lang w:val="en-US" w:eastAsia="da-DK"/>
        </w:rPr>
      </w:pPr>
      <w:r w:rsidRPr="00B37E70">
        <w:rPr>
          <w:rFonts w:eastAsia="Times New Roman" w:cs="Times New Roman"/>
          <w:szCs w:val="18"/>
          <w:lang w:val="en-US" w:eastAsia="da-DK"/>
        </w:rPr>
        <w:t xml:space="preserve">No, the law should not be applied differently depending on the type of IPR. </w:t>
      </w:r>
    </w:p>
    <w:p w14:paraId="45093458" w14:textId="77777777" w:rsidR="00CC55B7" w:rsidRPr="00377F06" w:rsidRDefault="00CC55B7" w:rsidP="00CC55B7">
      <w:pPr>
        <w:rPr>
          <w:rFonts w:eastAsia="Times New Roman" w:cs="Times New Roman"/>
          <w:color w:val="000000"/>
          <w:szCs w:val="18"/>
          <w:lang w:val="en-US" w:eastAsia="da-DK"/>
        </w:rPr>
      </w:pPr>
    </w:p>
    <w:p w14:paraId="0D29E532" w14:textId="77777777" w:rsidR="00CC55B7" w:rsidRDefault="00CC55B7" w:rsidP="00CC55B7">
      <w:pPr>
        <w:rPr>
          <w:rFonts w:eastAsia="Times New Roman" w:cs="Times New Roman"/>
          <w:b/>
          <w:color w:val="000000"/>
          <w:szCs w:val="18"/>
          <w:u w:val="single"/>
          <w:lang w:val="en-US" w:eastAsia="da-DK"/>
        </w:rPr>
      </w:pPr>
      <w:r>
        <w:rPr>
          <w:rFonts w:eastAsia="Times New Roman" w:cs="Times New Roman"/>
          <w:b/>
          <w:color w:val="000000"/>
          <w:szCs w:val="18"/>
          <w:u w:val="single"/>
          <w:lang w:val="en-US" w:eastAsia="da-DK"/>
        </w:rPr>
        <w:t>Effect of security interests</w:t>
      </w:r>
    </w:p>
    <w:p w14:paraId="1B4A5EBF" w14:textId="77777777" w:rsidR="00CC55B7" w:rsidRDefault="00CC55B7" w:rsidP="00CC55B7">
      <w:pPr>
        <w:rPr>
          <w:rFonts w:eastAsia="Times New Roman" w:cs="Times New Roman"/>
          <w:b/>
          <w:color w:val="000000"/>
          <w:szCs w:val="18"/>
          <w:u w:val="single"/>
          <w:lang w:val="en-US" w:eastAsia="da-DK"/>
        </w:rPr>
      </w:pPr>
    </w:p>
    <w:p w14:paraId="0F2185FA" w14:textId="77777777" w:rsidR="00CC55B7" w:rsidRPr="00877C3F" w:rsidRDefault="00CC55B7" w:rsidP="00CC55B7">
      <w:pPr>
        <w:pStyle w:val="ListParagraph"/>
        <w:numPr>
          <w:ilvl w:val="0"/>
          <w:numId w:val="49"/>
        </w:numPr>
        <w:rPr>
          <w:rFonts w:eastAsia="Times New Roman" w:cs="Times New Roman"/>
          <w:b/>
          <w:color w:val="000000"/>
          <w:szCs w:val="18"/>
          <w:lang w:val="en-US" w:eastAsia="da-DK"/>
        </w:rPr>
      </w:pPr>
      <w:r>
        <w:rPr>
          <w:rFonts w:eastAsia="Times New Roman" w:cs="Times New Roman"/>
          <w:b/>
          <w:color w:val="000000"/>
          <w:szCs w:val="18"/>
          <w:lang w:val="en-US" w:eastAsia="da-DK"/>
        </w:rPr>
        <w:t xml:space="preserve"> Should the security provider be restricted in their right to use their IPR after providing a security interest over that IPR (e.g. in respect of their right to grant licenses, or to use the protected subject matter)? If so, how?</w:t>
      </w:r>
    </w:p>
    <w:p w14:paraId="141D9154" w14:textId="77777777" w:rsidR="00CC55B7" w:rsidRDefault="00CC55B7" w:rsidP="00CC55B7">
      <w:pPr>
        <w:rPr>
          <w:rFonts w:eastAsia="Times New Roman" w:cs="Times New Roman"/>
          <w:b/>
          <w:color w:val="000000"/>
          <w:szCs w:val="18"/>
          <w:lang w:val="en-US" w:eastAsia="da-DK"/>
        </w:rPr>
      </w:pPr>
    </w:p>
    <w:p w14:paraId="4D5CFE42" w14:textId="4B9D2240" w:rsidR="00CC55B7" w:rsidRDefault="00CC55B7" w:rsidP="00CC55B7">
      <w:pPr>
        <w:ind w:left="360"/>
        <w:rPr>
          <w:lang w:val="en-US"/>
        </w:rPr>
      </w:pPr>
      <w:r>
        <w:rPr>
          <w:lang w:val="en-US"/>
        </w:rPr>
        <w:t>No, the current situation whereby the security provider – as a starting point - is not restricted by law in its right to use its IPR after providing a security interest in that IPR strikes a fair balance since the parties are free to modify the effects of the security interest by contractual provisions between the parties, see our comments to Question 11 and Question 29.</w:t>
      </w:r>
    </w:p>
    <w:p w14:paraId="03931368" w14:textId="77777777" w:rsidR="00CC55B7" w:rsidRDefault="00CC55B7" w:rsidP="00CC55B7">
      <w:pPr>
        <w:rPr>
          <w:lang w:val="en-US"/>
        </w:rPr>
      </w:pPr>
    </w:p>
    <w:p w14:paraId="3C5C1FB3" w14:textId="1DBECAD9" w:rsidR="00CC55B7" w:rsidRDefault="00CC55B7" w:rsidP="00CC55B7">
      <w:pPr>
        <w:ind w:left="360"/>
        <w:rPr>
          <w:lang w:val="en-US"/>
        </w:rPr>
      </w:pPr>
      <w:r>
        <w:rPr>
          <w:lang w:val="en-US"/>
        </w:rPr>
        <w:t xml:space="preserve">This answer applies to both security interests in the form of </w:t>
      </w:r>
      <w:r w:rsidR="006D1FC1">
        <w:rPr>
          <w:lang w:val="en-US"/>
        </w:rPr>
        <w:t>fixed charge</w:t>
      </w:r>
      <w:r w:rsidR="003A3CEA">
        <w:rPr>
          <w:lang w:val="en-US"/>
        </w:rPr>
        <w:t>s</w:t>
      </w:r>
      <w:r w:rsidR="006D1FC1">
        <w:rPr>
          <w:lang w:val="en-US"/>
        </w:rPr>
        <w:t xml:space="preserve"> </w:t>
      </w:r>
      <w:r>
        <w:rPr>
          <w:lang w:val="en-US"/>
        </w:rPr>
        <w:t>and floating charge</w:t>
      </w:r>
      <w:r w:rsidR="003A3CEA">
        <w:rPr>
          <w:lang w:val="en-US"/>
        </w:rPr>
        <w:t>s</w:t>
      </w:r>
      <w:r>
        <w:rPr>
          <w:lang w:val="en-US"/>
        </w:rPr>
        <w:t xml:space="preserve">. </w:t>
      </w:r>
    </w:p>
    <w:p w14:paraId="3538E23B" w14:textId="77777777" w:rsidR="00CC55B7" w:rsidRDefault="00CC55B7" w:rsidP="00CC55B7">
      <w:pPr>
        <w:rPr>
          <w:rFonts w:eastAsia="Times New Roman" w:cs="Times New Roman"/>
          <w:b/>
          <w:color w:val="000000"/>
          <w:szCs w:val="18"/>
          <w:lang w:val="en-US" w:eastAsia="da-DK"/>
        </w:rPr>
      </w:pPr>
    </w:p>
    <w:p w14:paraId="624BC0DB" w14:textId="77777777" w:rsidR="00CC55B7" w:rsidRPr="00877C3F" w:rsidRDefault="00CC55B7" w:rsidP="00CC55B7">
      <w:pPr>
        <w:pStyle w:val="ListParagraph"/>
        <w:numPr>
          <w:ilvl w:val="0"/>
          <w:numId w:val="49"/>
        </w:numPr>
        <w:rPr>
          <w:rFonts w:eastAsia="Times New Roman" w:cs="Times New Roman"/>
          <w:b/>
          <w:color w:val="000000"/>
          <w:szCs w:val="18"/>
          <w:lang w:val="en-US" w:eastAsia="da-DK"/>
        </w:rPr>
      </w:pPr>
      <w:r>
        <w:rPr>
          <w:rFonts w:eastAsia="Times New Roman" w:cs="Times New Roman"/>
          <w:b/>
          <w:color w:val="000000"/>
          <w:szCs w:val="18"/>
          <w:lang w:val="en-US" w:eastAsia="da-DK"/>
        </w:rPr>
        <w:t xml:space="preserve"> </w:t>
      </w:r>
      <w:r w:rsidRPr="00877C3F">
        <w:rPr>
          <w:rFonts w:eastAsia="Times New Roman" w:cs="Times New Roman"/>
          <w:b/>
          <w:color w:val="000000"/>
          <w:szCs w:val="18"/>
          <w:lang w:val="en-US" w:eastAsia="da-DK"/>
        </w:rPr>
        <w:t xml:space="preserve">Should the security provider be able to assign encumbered IPRs to third parties? </w:t>
      </w:r>
    </w:p>
    <w:p w14:paraId="0F328015" w14:textId="77777777" w:rsidR="00CC55B7" w:rsidRDefault="00CC55B7" w:rsidP="00CC55B7">
      <w:pPr>
        <w:rPr>
          <w:rFonts w:eastAsia="Times New Roman" w:cs="Times New Roman"/>
          <w:color w:val="000000"/>
          <w:szCs w:val="18"/>
          <w:lang w:val="en-US" w:eastAsia="da-DK"/>
        </w:rPr>
      </w:pPr>
    </w:p>
    <w:p w14:paraId="1F685609" w14:textId="6637DAAC" w:rsidR="00CC55B7" w:rsidRPr="00057982" w:rsidRDefault="00CC55B7" w:rsidP="00CC55B7">
      <w:pPr>
        <w:ind w:left="360"/>
        <w:rPr>
          <w:lang w:val="en-US"/>
        </w:rPr>
      </w:pPr>
      <w:r w:rsidRPr="00057982">
        <w:rPr>
          <w:lang w:val="en-US"/>
        </w:rPr>
        <w:t xml:space="preserve">In respect of a fixed charge the current situation, where the security provider as a starting point is able to assign encumbered IPRs to third parties strikes a fair balance, since the security taker may in such situation require that </w:t>
      </w:r>
      <w:r w:rsidR="00055648" w:rsidRPr="00057982">
        <w:rPr>
          <w:szCs w:val="18"/>
          <w:lang w:val="en-US"/>
        </w:rPr>
        <w:t>the debt secured by the charge be repaid</w:t>
      </w:r>
      <w:r w:rsidR="00057982">
        <w:rPr>
          <w:szCs w:val="18"/>
          <w:lang w:val="en-US"/>
        </w:rPr>
        <w:t xml:space="preserve"> </w:t>
      </w:r>
      <w:r w:rsidRPr="00057982">
        <w:rPr>
          <w:lang w:val="en-US"/>
        </w:rPr>
        <w:t xml:space="preserve">or, otherwise, the IPR remain encumbered and the buyer of the IPR thus have to accept the fixed charge in the IPR (see our comments to Question 7a). </w:t>
      </w:r>
    </w:p>
    <w:p w14:paraId="61697C8E" w14:textId="77777777" w:rsidR="00CC55B7" w:rsidRDefault="00CC55B7" w:rsidP="00CC55B7">
      <w:pPr>
        <w:rPr>
          <w:lang w:val="en-US"/>
        </w:rPr>
      </w:pPr>
    </w:p>
    <w:p w14:paraId="26DC38D1" w14:textId="5156235E" w:rsidR="00CC55B7" w:rsidRDefault="00CC55B7" w:rsidP="00CC55B7">
      <w:pPr>
        <w:ind w:left="360"/>
        <w:rPr>
          <w:lang w:val="en-US"/>
        </w:rPr>
      </w:pPr>
      <w:r>
        <w:rPr>
          <w:lang w:val="en-US"/>
        </w:rPr>
        <w:t>Likewise, it is considered to be a fair balance between the parties that the security provider can assign IPRs covered by a floating charge to third parties in the course of the regular operation of the company. Consequently</w:t>
      </w:r>
      <w:r w:rsidR="006D1FC1">
        <w:rPr>
          <w:lang w:val="en-US"/>
        </w:rPr>
        <w:t>,</w:t>
      </w:r>
      <w:r>
        <w:rPr>
          <w:lang w:val="en-US"/>
        </w:rPr>
        <w:t xml:space="preserve"> the security provider should remain to have this possibility. </w:t>
      </w:r>
    </w:p>
    <w:p w14:paraId="697C7813" w14:textId="77777777" w:rsidR="00CC55B7" w:rsidRDefault="00CC55B7" w:rsidP="00CC55B7">
      <w:pPr>
        <w:rPr>
          <w:lang w:val="en-US"/>
        </w:rPr>
      </w:pPr>
    </w:p>
    <w:p w14:paraId="67175C0C" w14:textId="77777777" w:rsidR="00CC55B7" w:rsidRPr="00877C3F" w:rsidRDefault="00CC55B7" w:rsidP="00CC55B7">
      <w:pPr>
        <w:pStyle w:val="ListParagraph"/>
        <w:numPr>
          <w:ilvl w:val="0"/>
          <w:numId w:val="49"/>
        </w:numPr>
        <w:rPr>
          <w:b/>
          <w:lang w:val="en-US"/>
        </w:rPr>
      </w:pPr>
      <w:r w:rsidRPr="00877C3F">
        <w:rPr>
          <w:b/>
          <w:lang w:val="en-US"/>
        </w:rPr>
        <w:lastRenderedPageBreak/>
        <w:t>What should the rights of the security taker be before default (e.g. entitlement to damages, injunctions against infringers, or license fees)?</w:t>
      </w:r>
    </w:p>
    <w:p w14:paraId="06332ED3" w14:textId="77777777" w:rsidR="00CC55B7" w:rsidRDefault="00CC55B7" w:rsidP="00CC55B7">
      <w:pPr>
        <w:rPr>
          <w:lang w:val="en-US"/>
        </w:rPr>
      </w:pPr>
    </w:p>
    <w:p w14:paraId="74980ECB" w14:textId="77777777" w:rsidR="00CC55B7" w:rsidRDefault="00CC55B7" w:rsidP="00CC55B7">
      <w:pPr>
        <w:ind w:left="360"/>
        <w:rPr>
          <w:lang w:val="en-US"/>
        </w:rPr>
      </w:pPr>
      <w:r>
        <w:rPr>
          <w:lang w:val="en-US"/>
        </w:rPr>
        <w:t xml:space="preserve">The security taker should generally have no rights over the encumbered IPR before default. The encumbered IPR is provided as a security interest and not as a licensed IPR and should thus be treated as such, unless the parties agree otherwise. </w:t>
      </w:r>
    </w:p>
    <w:p w14:paraId="087C8027" w14:textId="77777777" w:rsidR="00CC55B7" w:rsidRDefault="00CC55B7" w:rsidP="00CC55B7">
      <w:pPr>
        <w:rPr>
          <w:lang w:val="en-US"/>
        </w:rPr>
      </w:pPr>
    </w:p>
    <w:p w14:paraId="2B4D1C21" w14:textId="2D1AE1D0" w:rsidR="00CC55B7" w:rsidRDefault="00CC55B7" w:rsidP="00CC55B7">
      <w:pPr>
        <w:ind w:left="360"/>
        <w:rPr>
          <w:lang w:val="en-US"/>
        </w:rPr>
      </w:pPr>
      <w:r>
        <w:rPr>
          <w:lang w:val="en-US"/>
        </w:rPr>
        <w:t xml:space="preserve">This answer applies to both security interests in the form </w:t>
      </w:r>
      <w:r w:rsidR="00EE0C7A">
        <w:rPr>
          <w:lang w:val="en-US"/>
        </w:rPr>
        <w:t>of</w:t>
      </w:r>
      <w:r w:rsidR="006D1FC1">
        <w:rPr>
          <w:lang w:val="en-US"/>
        </w:rPr>
        <w:t xml:space="preserve"> fixed charge</w:t>
      </w:r>
      <w:r w:rsidR="003A3CEA">
        <w:rPr>
          <w:lang w:val="en-US"/>
        </w:rPr>
        <w:t>s</w:t>
      </w:r>
      <w:r w:rsidR="006D1FC1">
        <w:rPr>
          <w:lang w:val="en-US"/>
        </w:rPr>
        <w:t xml:space="preserve"> </w:t>
      </w:r>
      <w:r>
        <w:rPr>
          <w:lang w:val="en-US"/>
        </w:rPr>
        <w:t>and floating charge</w:t>
      </w:r>
      <w:r w:rsidR="003A3CEA">
        <w:rPr>
          <w:lang w:val="en-US"/>
        </w:rPr>
        <w:t>s</w:t>
      </w:r>
      <w:r>
        <w:rPr>
          <w:lang w:val="en-US"/>
        </w:rPr>
        <w:t xml:space="preserve">. </w:t>
      </w:r>
    </w:p>
    <w:p w14:paraId="483CEE29" w14:textId="77777777" w:rsidR="00CC55B7" w:rsidRDefault="00CC55B7" w:rsidP="00CC55B7">
      <w:pPr>
        <w:rPr>
          <w:lang w:val="en-US"/>
        </w:rPr>
      </w:pPr>
    </w:p>
    <w:p w14:paraId="6489825E" w14:textId="77777777" w:rsidR="00CC55B7" w:rsidRDefault="00CC55B7" w:rsidP="00CC55B7">
      <w:pPr>
        <w:pStyle w:val="ListParagraph"/>
        <w:numPr>
          <w:ilvl w:val="0"/>
          <w:numId w:val="49"/>
        </w:numPr>
        <w:rPr>
          <w:b/>
          <w:lang w:val="en-US"/>
        </w:rPr>
      </w:pPr>
      <w:r>
        <w:rPr>
          <w:b/>
          <w:lang w:val="en-US"/>
        </w:rPr>
        <w:t xml:space="preserve"> Should the security provider or the security taker be responsible for maintenance and </w:t>
      </w:r>
      <w:proofErr w:type="spellStart"/>
      <w:r>
        <w:rPr>
          <w:b/>
          <w:lang w:val="en-US"/>
        </w:rPr>
        <w:t>defence</w:t>
      </w:r>
      <w:proofErr w:type="spellEnd"/>
      <w:r>
        <w:rPr>
          <w:b/>
          <w:lang w:val="en-US"/>
        </w:rPr>
        <w:t xml:space="preserve"> or the IPR provided as collateral?</w:t>
      </w:r>
    </w:p>
    <w:p w14:paraId="0A5B4A6F" w14:textId="77777777" w:rsidR="00CC55B7" w:rsidRPr="00877C3F" w:rsidRDefault="00CC55B7" w:rsidP="00CC55B7">
      <w:pPr>
        <w:pStyle w:val="ListParagraph"/>
        <w:ind w:left="360"/>
        <w:rPr>
          <w:b/>
          <w:lang w:val="en-US"/>
        </w:rPr>
      </w:pPr>
    </w:p>
    <w:p w14:paraId="6B434895" w14:textId="77777777" w:rsidR="00CC55B7" w:rsidRDefault="00CC55B7" w:rsidP="00CC55B7">
      <w:pPr>
        <w:ind w:left="360"/>
        <w:rPr>
          <w:lang w:val="en-US"/>
        </w:rPr>
      </w:pPr>
      <w:r>
        <w:rPr>
          <w:lang w:val="en-US"/>
        </w:rPr>
        <w:t xml:space="preserve">As a starting point, the security provider should be responsible for maintaining and defending the IPR provided as collateral. </w:t>
      </w:r>
    </w:p>
    <w:p w14:paraId="0F44682E" w14:textId="77777777" w:rsidR="00CC55B7" w:rsidRDefault="00CC55B7" w:rsidP="00CC55B7">
      <w:pPr>
        <w:rPr>
          <w:lang w:val="en-US"/>
        </w:rPr>
      </w:pPr>
    </w:p>
    <w:p w14:paraId="4E5D5D7D" w14:textId="2BE039D7" w:rsidR="00CC55B7" w:rsidRDefault="00CC55B7" w:rsidP="00CC55B7">
      <w:pPr>
        <w:ind w:left="360"/>
        <w:rPr>
          <w:lang w:val="en-US"/>
        </w:rPr>
      </w:pPr>
      <w:r>
        <w:rPr>
          <w:lang w:val="en-US"/>
        </w:rPr>
        <w:t xml:space="preserve">However, the Danish </w:t>
      </w:r>
      <w:r w:rsidR="006D1FC1">
        <w:rPr>
          <w:lang w:val="en-US"/>
        </w:rPr>
        <w:t>G</w:t>
      </w:r>
      <w:r>
        <w:rPr>
          <w:lang w:val="en-US"/>
        </w:rPr>
        <w:t>roup considers it would be an improvement of the current law, if, by law, the security taker was granted a right to be notified about any official challenges of the encumbered IPR</w:t>
      </w:r>
      <w:r w:rsidR="00057982">
        <w:rPr>
          <w:lang w:val="en-US"/>
        </w:rPr>
        <w:t xml:space="preserve"> (see our comments to Question 18)</w:t>
      </w:r>
      <w:r>
        <w:rPr>
          <w:lang w:val="en-US"/>
        </w:rPr>
        <w:t xml:space="preserve">. </w:t>
      </w:r>
    </w:p>
    <w:p w14:paraId="6ED867C3" w14:textId="77777777" w:rsidR="00CC55B7" w:rsidRDefault="00CC55B7" w:rsidP="00CC55B7">
      <w:pPr>
        <w:rPr>
          <w:lang w:val="en-US"/>
        </w:rPr>
      </w:pPr>
    </w:p>
    <w:p w14:paraId="7F119E7E" w14:textId="77777777" w:rsidR="00CC55B7" w:rsidRDefault="00CC55B7" w:rsidP="00CC55B7">
      <w:pPr>
        <w:ind w:left="360"/>
        <w:rPr>
          <w:lang w:val="en-US"/>
        </w:rPr>
      </w:pPr>
      <w:r>
        <w:rPr>
          <w:lang w:val="en-US"/>
        </w:rPr>
        <w:t xml:space="preserve">Currently, the security taker is not granted a right of notification of challenges of the encumbered IPR, even if the security taker has been registered in the relevant patent/trademark register as a security taker. Only the owner of the encumbered IPR (i.e. the security provider) and licensees (if any) are notified if the validity of the encumbered IPR is challenged. </w:t>
      </w:r>
    </w:p>
    <w:p w14:paraId="61FA5550" w14:textId="77777777" w:rsidR="00CC55B7" w:rsidRDefault="00CC55B7" w:rsidP="00CC55B7">
      <w:pPr>
        <w:rPr>
          <w:lang w:val="en-US"/>
        </w:rPr>
      </w:pPr>
    </w:p>
    <w:p w14:paraId="5BA7BC8C" w14:textId="35BE6DBE" w:rsidR="00CC55B7" w:rsidRDefault="00CC55B7" w:rsidP="00CC55B7">
      <w:pPr>
        <w:ind w:left="360"/>
        <w:rPr>
          <w:lang w:val="en-US"/>
        </w:rPr>
      </w:pPr>
      <w:r>
        <w:rPr>
          <w:lang w:val="en-US"/>
        </w:rPr>
        <w:t>This answer applies to both security interests in the form of</w:t>
      </w:r>
      <w:r w:rsidR="006D1FC1">
        <w:rPr>
          <w:lang w:val="en-US"/>
        </w:rPr>
        <w:t xml:space="preserve"> fixed charge</w:t>
      </w:r>
      <w:r w:rsidR="003A3CEA">
        <w:rPr>
          <w:lang w:val="en-US"/>
        </w:rPr>
        <w:t>s</w:t>
      </w:r>
      <w:r>
        <w:rPr>
          <w:lang w:val="en-US"/>
        </w:rPr>
        <w:t xml:space="preserve"> and</w:t>
      </w:r>
      <w:r w:rsidR="006D1FC1">
        <w:rPr>
          <w:lang w:val="en-US"/>
        </w:rPr>
        <w:t xml:space="preserve"> </w:t>
      </w:r>
      <w:r>
        <w:rPr>
          <w:lang w:val="en-US"/>
        </w:rPr>
        <w:t>floating charge</w:t>
      </w:r>
      <w:r w:rsidR="003A3CEA">
        <w:rPr>
          <w:lang w:val="en-US"/>
        </w:rPr>
        <w:t>s</w:t>
      </w:r>
      <w:r>
        <w:rPr>
          <w:lang w:val="en-US"/>
        </w:rPr>
        <w:t>.</w:t>
      </w:r>
    </w:p>
    <w:p w14:paraId="4CF92292" w14:textId="77777777" w:rsidR="00CC55B7" w:rsidRDefault="00CC55B7" w:rsidP="00CC55B7">
      <w:pPr>
        <w:ind w:firstLine="360"/>
        <w:rPr>
          <w:lang w:val="en-US"/>
        </w:rPr>
      </w:pPr>
      <w:r>
        <w:rPr>
          <w:lang w:val="en-US"/>
        </w:rPr>
        <w:t xml:space="preserve"> </w:t>
      </w:r>
    </w:p>
    <w:p w14:paraId="0CB02178" w14:textId="77777777" w:rsidR="00CC55B7" w:rsidRPr="00877C3F" w:rsidRDefault="00CC55B7" w:rsidP="00CC55B7">
      <w:pPr>
        <w:pStyle w:val="ListParagraph"/>
        <w:numPr>
          <w:ilvl w:val="0"/>
          <w:numId w:val="49"/>
        </w:numPr>
        <w:rPr>
          <w:b/>
          <w:lang w:val="en-US"/>
        </w:rPr>
      </w:pPr>
      <w:r>
        <w:rPr>
          <w:b/>
          <w:lang w:val="en-US"/>
        </w:rPr>
        <w:t xml:space="preserve"> W</w:t>
      </w:r>
      <w:r w:rsidRPr="00877C3F">
        <w:rPr>
          <w:b/>
          <w:lang w:val="en-US"/>
        </w:rPr>
        <w:t>hat should</w:t>
      </w:r>
      <w:r>
        <w:rPr>
          <w:b/>
          <w:lang w:val="en-US"/>
        </w:rPr>
        <w:t xml:space="preserve"> the legal consequences be if the underlying IPR expires or is revoked (e.g. the security right lapses simultaneously; creditor gains a compensation claim against security provider)?</w:t>
      </w:r>
    </w:p>
    <w:p w14:paraId="5C00B7AF" w14:textId="77777777" w:rsidR="00CC55B7" w:rsidRDefault="00CC55B7" w:rsidP="00CC55B7">
      <w:pPr>
        <w:rPr>
          <w:rFonts w:eastAsia="Times New Roman" w:cs="Times New Roman"/>
          <w:b/>
          <w:color w:val="000000"/>
          <w:szCs w:val="18"/>
          <w:lang w:val="en-US" w:eastAsia="da-DK"/>
        </w:rPr>
      </w:pPr>
    </w:p>
    <w:p w14:paraId="22938C2B" w14:textId="6584E02C" w:rsidR="00CC55B7" w:rsidRDefault="00CC55B7" w:rsidP="00CC55B7">
      <w:pPr>
        <w:ind w:left="360"/>
        <w:rPr>
          <w:lang w:val="en-US"/>
        </w:rPr>
      </w:pPr>
      <w:r>
        <w:rPr>
          <w:lang w:val="en-US"/>
        </w:rPr>
        <w:t xml:space="preserve">In respect of </w:t>
      </w:r>
      <w:r w:rsidR="006D1FC1">
        <w:rPr>
          <w:lang w:val="en-US"/>
        </w:rPr>
        <w:t>a fixed charge</w:t>
      </w:r>
      <w:r>
        <w:rPr>
          <w:lang w:val="en-US"/>
        </w:rPr>
        <w:t>, should the underlying IPR expire or be revoked, the security right should lapse simultaneously.</w:t>
      </w:r>
    </w:p>
    <w:p w14:paraId="11750E10" w14:textId="77777777" w:rsidR="00CC55B7" w:rsidRDefault="00CC55B7" w:rsidP="00CC55B7">
      <w:pPr>
        <w:rPr>
          <w:lang w:val="en-US"/>
        </w:rPr>
      </w:pPr>
    </w:p>
    <w:p w14:paraId="52A93761" w14:textId="77777777" w:rsidR="00CC55B7" w:rsidRDefault="00CC55B7" w:rsidP="00CC55B7">
      <w:pPr>
        <w:ind w:left="360"/>
        <w:rPr>
          <w:lang w:val="en-US"/>
        </w:rPr>
      </w:pPr>
      <w:r>
        <w:rPr>
          <w:lang w:val="en-US"/>
        </w:rPr>
        <w:lastRenderedPageBreak/>
        <w:t xml:space="preserve">As regards a floating charge, the security right would often comprise other assets and should thus continue to comprise these assets. </w:t>
      </w:r>
    </w:p>
    <w:p w14:paraId="40BE6D96" w14:textId="77777777" w:rsidR="00CC55B7" w:rsidRDefault="00CC55B7" w:rsidP="00CC55B7">
      <w:pPr>
        <w:rPr>
          <w:lang w:val="en-US"/>
        </w:rPr>
      </w:pPr>
    </w:p>
    <w:p w14:paraId="647EFC2A" w14:textId="77777777" w:rsidR="00CC55B7" w:rsidRPr="00877C3F" w:rsidRDefault="00CC55B7" w:rsidP="00CC55B7">
      <w:pPr>
        <w:pStyle w:val="ListParagraph"/>
        <w:numPr>
          <w:ilvl w:val="0"/>
          <w:numId w:val="49"/>
        </w:numPr>
        <w:rPr>
          <w:b/>
          <w:lang w:val="en-US"/>
        </w:rPr>
      </w:pPr>
      <w:r>
        <w:rPr>
          <w:b/>
          <w:lang w:val="en-US"/>
        </w:rPr>
        <w:t xml:space="preserve"> Should it be possible to modify these effects of security interests over IPRs before default by contractual provisions?</w:t>
      </w:r>
    </w:p>
    <w:p w14:paraId="769CCDF1" w14:textId="77777777" w:rsidR="00CC55B7" w:rsidRDefault="00CC55B7" w:rsidP="00CC55B7">
      <w:pPr>
        <w:rPr>
          <w:b/>
          <w:lang w:val="en-US"/>
        </w:rPr>
      </w:pPr>
    </w:p>
    <w:p w14:paraId="78958BF6" w14:textId="77777777" w:rsidR="00CC55B7" w:rsidRPr="006901D1" w:rsidRDefault="00CC55B7" w:rsidP="00CC55B7">
      <w:pPr>
        <w:ind w:left="360"/>
        <w:rPr>
          <w:lang w:val="en-US"/>
        </w:rPr>
      </w:pPr>
      <w:r>
        <w:rPr>
          <w:lang w:val="en-US"/>
        </w:rPr>
        <w:t>Yes, the freedom of contract strikes a fair balance between the security taker and the security provider.</w:t>
      </w:r>
    </w:p>
    <w:p w14:paraId="1C274E7C" w14:textId="77777777" w:rsidR="00CC55B7" w:rsidRDefault="00CC55B7" w:rsidP="00CC55B7">
      <w:pPr>
        <w:rPr>
          <w:b/>
          <w:lang w:val="en-US"/>
        </w:rPr>
      </w:pPr>
    </w:p>
    <w:p w14:paraId="2AFAB71A" w14:textId="77777777" w:rsidR="00CC55B7" w:rsidRDefault="00CC55B7" w:rsidP="00CC55B7">
      <w:pPr>
        <w:rPr>
          <w:b/>
          <w:u w:val="single"/>
          <w:lang w:val="en-US"/>
        </w:rPr>
      </w:pPr>
      <w:r>
        <w:rPr>
          <w:b/>
          <w:u w:val="single"/>
          <w:lang w:val="en-US"/>
        </w:rPr>
        <w:t>Applicable law</w:t>
      </w:r>
    </w:p>
    <w:p w14:paraId="6F4F21EE" w14:textId="77777777" w:rsidR="00CC55B7" w:rsidRDefault="00CC55B7" w:rsidP="00CC55B7">
      <w:pPr>
        <w:rPr>
          <w:b/>
          <w:u w:val="single"/>
          <w:lang w:val="en-US"/>
        </w:rPr>
      </w:pPr>
    </w:p>
    <w:p w14:paraId="49D59E39" w14:textId="77777777" w:rsidR="00CC55B7" w:rsidRPr="00877C3F" w:rsidRDefault="00CC55B7" w:rsidP="00CC55B7">
      <w:pPr>
        <w:pStyle w:val="ListParagraph"/>
        <w:numPr>
          <w:ilvl w:val="0"/>
          <w:numId w:val="49"/>
        </w:numPr>
        <w:rPr>
          <w:b/>
          <w:lang w:val="en-US"/>
        </w:rPr>
      </w:pPr>
      <w:r w:rsidRPr="00877C3F">
        <w:rPr>
          <w:b/>
          <w:lang w:val="en-US"/>
        </w:rPr>
        <w:t>Which law should apply as to the availability and the effects of the security interests where a foreign IPR is provided as collateral? Why?</w:t>
      </w:r>
    </w:p>
    <w:p w14:paraId="2323C6CD" w14:textId="77777777" w:rsidR="00CC55B7" w:rsidRPr="005203FB" w:rsidRDefault="00CC55B7" w:rsidP="00CC55B7">
      <w:pPr>
        <w:rPr>
          <w:lang w:val="en-US"/>
        </w:rPr>
      </w:pPr>
    </w:p>
    <w:p w14:paraId="2E8E7500" w14:textId="77777777" w:rsidR="00CC55B7" w:rsidRDefault="00CC55B7" w:rsidP="00CC55B7">
      <w:pPr>
        <w:ind w:left="360"/>
        <w:rPr>
          <w:lang w:val="en-US"/>
        </w:rPr>
      </w:pPr>
      <w:r w:rsidRPr="00842BA5">
        <w:rPr>
          <w:lang w:val="en-US"/>
        </w:rPr>
        <w:t xml:space="preserve">The Danish Group finds that </w:t>
      </w:r>
      <w:r>
        <w:rPr>
          <w:lang w:val="en-US"/>
        </w:rPr>
        <w:t xml:space="preserve">the principle of </w:t>
      </w:r>
      <w:proofErr w:type="spellStart"/>
      <w:r w:rsidRPr="002C2C5B">
        <w:rPr>
          <w:i/>
          <w:lang w:val="en-US"/>
        </w:rPr>
        <w:t>lex</w:t>
      </w:r>
      <w:proofErr w:type="spellEnd"/>
      <w:r w:rsidRPr="002C2C5B">
        <w:rPr>
          <w:i/>
          <w:lang w:val="en-US"/>
        </w:rPr>
        <w:t xml:space="preserve"> situs</w:t>
      </w:r>
      <w:r w:rsidRPr="0064330E">
        <w:rPr>
          <w:lang w:val="en-US"/>
        </w:rPr>
        <w:t>,</w:t>
      </w:r>
      <w:r>
        <w:rPr>
          <w:lang w:val="en-US"/>
        </w:rPr>
        <w:t xml:space="preserve"> i.e. the law of the country/territory where the foreign IPR is registered,</w:t>
      </w:r>
      <w:r w:rsidRPr="00842BA5">
        <w:rPr>
          <w:lang w:val="en-US"/>
        </w:rPr>
        <w:t xml:space="preserve"> should </w:t>
      </w:r>
      <w:r>
        <w:rPr>
          <w:lang w:val="en-US"/>
        </w:rPr>
        <w:t xml:space="preserve">continue to </w:t>
      </w:r>
      <w:r w:rsidRPr="00842BA5">
        <w:rPr>
          <w:lang w:val="en-US"/>
        </w:rPr>
        <w:t>apply as to the availability an</w:t>
      </w:r>
      <w:r>
        <w:rPr>
          <w:lang w:val="en-US"/>
        </w:rPr>
        <w:t>d the effects of security interes</w:t>
      </w:r>
      <w:r w:rsidRPr="00842BA5">
        <w:rPr>
          <w:lang w:val="en-US"/>
        </w:rPr>
        <w:t>ts where a fore</w:t>
      </w:r>
      <w:r>
        <w:rPr>
          <w:lang w:val="en-US"/>
        </w:rPr>
        <w:t>ign IPR is provided as collater</w:t>
      </w:r>
      <w:r w:rsidRPr="00842BA5">
        <w:rPr>
          <w:lang w:val="en-US"/>
        </w:rPr>
        <w:t xml:space="preserve">al. </w:t>
      </w:r>
      <w:r>
        <w:rPr>
          <w:lang w:val="en-US"/>
        </w:rPr>
        <w:t xml:space="preserve">We realize that as long as the legal regimes vary from country to country, the application of </w:t>
      </w:r>
      <w:proofErr w:type="spellStart"/>
      <w:r w:rsidRPr="003930AC">
        <w:rPr>
          <w:i/>
          <w:lang w:val="en-US"/>
        </w:rPr>
        <w:t>lex</w:t>
      </w:r>
      <w:proofErr w:type="spellEnd"/>
      <w:r w:rsidRPr="003930AC">
        <w:rPr>
          <w:i/>
          <w:lang w:val="en-US"/>
        </w:rPr>
        <w:t xml:space="preserve"> situs</w:t>
      </w:r>
      <w:r>
        <w:rPr>
          <w:lang w:val="en-US"/>
        </w:rPr>
        <w:t xml:space="preserve"> may lead to a number of challenges. For example, it may be rather costly to perfect security interests over IPR portfolios and thus make it less attractive to use IPR portfolios as collateral. However, the principle of </w:t>
      </w:r>
      <w:proofErr w:type="spellStart"/>
      <w:r w:rsidRPr="002C2C5B">
        <w:rPr>
          <w:i/>
          <w:lang w:val="en-US"/>
        </w:rPr>
        <w:t>lex</w:t>
      </w:r>
      <w:proofErr w:type="spellEnd"/>
      <w:r w:rsidRPr="002C2C5B">
        <w:rPr>
          <w:i/>
          <w:lang w:val="en-US"/>
        </w:rPr>
        <w:t xml:space="preserve"> situs</w:t>
      </w:r>
      <w:r>
        <w:rPr>
          <w:lang w:val="en-US"/>
        </w:rPr>
        <w:t xml:space="preserve"> provides transparency as to which law will apply in relation to a security interest over a particular IPR. Thus, a third party will always know where to check whether there are other perfected security interests over a particular IPR. As long as the legal regimes are not harmonized, such transparency is important in order to secure the interests of third parties.</w:t>
      </w:r>
    </w:p>
    <w:p w14:paraId="2A2B4244" w14:textId="77777777" w:rsidR="00CC55B7" w:rsidRDefault="00CC55B7" w:rsidP="00CC55B7">
      <w:pPr>
        <w:rPr>
          <w:lang w:val="en-US"/>
        </w:rPr>
      </w:pPr>
    </w:p>
    <w:p w14:paraId="5899E632" w14:textId="77777777" w:rsidR="00CC55B7" w:rsidRDefault="00CC55B7" w:rsidP="00CC55B7">
      <w:pPr>
        <w:ind w:left="360"/>
        <w:rPr>
          <w:lang w:val="en-US"/>
        </w:rPr>
      </w:pPr>
      <w:r>
        <w:rPr>
          <w:lang w:val="en-US"/>
        </w:rPr>
        <w:t>The Danish Group has also considered whether a principle, where the law of the security provider (i.e. the IPR owner) shall apply, would be appropriate. However, as long as the legal regimes on security interests vary significantly from country to country, the Danish Group does not find that such principle would be appropriate as this might lead to undesirable effects such as forum shopping.</w:t>
      </w:r>
    </w:p>
    <w:p w14:paraId="2320EE8C" w14:textId="77777777" w:rsidR="00CC55B7" w:rsidRDefault="00CC55B7" w:rsidP="00CC55B7">
      <w:pPr>
        <w:rPr>
          <w:lang w:val="en-US"/>
        </w:rPr>
      </w:pPr>
    </w:p>
    <w:p w14:paraId="416C374B" w14:textId="77777777" w:rsidR="00CC55B7" w:rsidRPr="00877C3F" w:rsidRDefault="00CC55B7" w:rsidP="00CC55B7">
      <w:pPr>
        <w:pStyle w:val="ListParagraph"/>
        <w:numPr>
          <w:ilvl w:val="0"/>
          <w:numId w:val="49"/>
        </w:numPr>
        <w:rPr>
          <w:b/>
          <w:lang w:val="en-US"/>
        </w:rPr>
      </w:pPr>
      <w:r w:rsidRPr="006F36E4">
        <w:rPr>
          <w:b/>
          <w:lang w:val="en-US"/>
        </w:rPr>
        <w:t>Should a choice of law provision in a security interest agreement over IPRs overrule the applicable law? If yes why?</w:t>
      </w:r>
    </w:p>
    <w:p w14:paraId="6F920831" w14:textId="77777777" w:rsidR="00CC55B7" w:rsidRDefault="00CC55B7" w:rsidP="00CC55B7">
      <w:pPr>
        <w:rPr>
          <w:b/>
          <w:lang w:val="en-US"/>
        </w:rPr>
      </w:pPr>
    </w:p>
    <w:p w14:paraId="505138BC" w14:textId="77777777" w:rsidR="00CC55B7" w:rsidRPr="0021144D" w:rsidRDefault="00CC55B7" w:rsidP="00CC55B7">
      <w:pPr>
        <w:ind w:left="360"/>
        <w:rPr>
          <w:lang w:val="en-US"/>
        </w:rPr>
      </w:pPr>
      <w:r w:rsidRPr="005203FB">
        <w:rPr>
          <w:lang w:val="en-US"/>
        </w:rPr>
        <w:t>No.</w:t>
      </w:r>
      <w:r>
        <w:rPr>
          <w:lang w:val="en-US"/>
        </w:rPr>
        <w:t xml:space="preserve"> </w:t>
      </w:r>
      <w:r w:rsidRPr="005203FB">
        <w:rPr>
          <w:lang w:val="en-US"/>
        </w:rPr>
        <w:t xml:space="preserve">Typically, the choice of law provision will only be known to the contracting parties. The Danish Group finds that a standard where a choice of law provision in a security interest </w:t>
      </w:r>
      <w:r w:rsidRPr="005203FB">
        <w:rPr>
          <w:lang w:val="en-US"/>
        </w:rPr>
        <w:lastRenderedPageBreak/>
        <w:t xml:space="preserve">agreement over IPRs overrules the applicable law would not provide a third party with sufficient transparency as to how and where to check for the existence of security interest over particular IPR. </w:t>
      </w:r>
    </w:p>
    <w:p w14:paraId="56FA64BA" w14:textId="77777777" w:rsidR="00CC55B7" w:rsidRPr="0021144D" w:rsidRDefault="00CC55B7" w:rsidP="00CC55B7">
      <w:pPr>
        <w:rPr>
          <w:lang w:val="en-US"/>
        </w:rPr>
      </w:pPr>
    </w:p>
    <w:p w14:paraId="5EF72B01" w14:textId="77777777" w:rsidR="00CC55B7" w:rsidRPr="00C60A05" w:rsidRDefault="00CC55B7" w:rsidP="00CC55B7">
      <w:pPr>
        <w:rPr>
          <w:b/>
          <w:u w:val="single"/>
          <w:lang w:val="en-US"/>
        </w:rPr>
      </w:pPr>
      <w:r>
        <w:rPr>
          <w:b/>
          <w:u w:val="single"/>
          <w:lang w:val="en-US"/>
        </w:rPr>
        <w:t>Additional considerations and proposals</w:t>
      </w:r>
    </w:p>
    <w:p w14:paraId="4B39B3BB" w14:textId="77777777" w:rsidR="00CC55B7" w:rsidRDefault="00CC55B7" w:rsidP="00CC55B7">
      <w:pPr>
        <w:rPr>
          <w:b/>
          <w:lang w:val="en-US"/>
        </w:rPr>
      </w:pPr>
    </w:p>
    <w:p w14:paraId="7FB0FC20" w14:textId="77777777" w:rsidR="00CC55B7" w:rsidRPr="00877C3F" w:rsidRDefault="00CC55B7" w:rsidP="00CC55B7">
      <w:pPr>
        <w:pStyle w:val="ListParagraph"/>
        <w:numPr>
          <w:ilvl w:val="0"/>
          <w:numId w:val="49"/>
        </w:numPr>
        <w:rPr>
          <w:b/>
          <w:lang w:val="en-US"/>
        </w:rPr>
      </w:pPr>
      <w:r w:rsidRPr="00877C3F">
        <w:rPr>
          <w:b/>
          <w:lang w:val="en-US"/>
        </w:rPr>
        <w:t>To the extent not already stated above, please propose any other standards your Group considers would be appropriate to harmonize laws relating to security interests over IPRs</w:t>
      </w:r>
      <w:r>
        <w:rPr>
          <w:b/>
          <w:lang w:val="en-US"/>
        </w:rPr>
        <w:t>.</w:t>
      </w:r>
    </w:p>
    <w:p w14:paraId="43C546BE" w14:textId="77777777" w:rsidR="00CC55B7" w:rsidRPr="006F36E4" w:rsidRDefault="00CC55B7" w:rsidP="00CC55B7">
      <w:pPr>
        <w:rPr>
          <w:rFonts w:eastAsia="Times New Roman" w:cs="Times New Roman"/>
          <w:b/>
          <w:color w:val="000000"/>
          <w:szCs w:val="18"/>
          <w:lang w:val="en-US" w:eastAsia="da-DK"/>
        </w:rPr>
      </w:pPr>
    </w:p>
    <w:p w14:paraId="0237CF41" w14:textId="77777777" w:rsidR="00CC55B7" w:rsidRDefault="00CC55B7" w:rsidP="00CC55B7">
      <w:pPr>
        <w:ind w:left="360"/>
        <w:rPr>
          <w:lang w:val="en-US"/>
        </w:rPr>
      </w:pPr>
      <w:r>
        <w:rPr>
          <w:lang w:val="en-US"/>
        </w:rPr>
        <w:t>The Danish Group finds that it would be appropriate to harmonize laws relating to security interests over IPRs so that the perfection of security interest over a particular IPR will always be accomplished by notification to the registration authority in the country/territory where the particular IPR is registered, for example the USPTO in relation to US IPRs or the Danish Patent and Trademark Office in relation to Danish IPRs. This would make it easier to check whether there is any security interest over a particular IPR.</w:t>
      </w:r>
    </w:p>
    <w:p w14:paraId="32169721" w14:textId="77777777" w:rsidR="00CC55B7" w:rsidRDefault="00CC55B7" w:rsidP="00CC55B7">
      <w:pPr>
        <w:rPr>
          <w:lang w:val="en-US"/>
        </w:rPr>
      </w:pPr>
    </w:p>
    <w:p w14:paraId="27B08E68" w14:textId="3598E322" w:rsidR="00CC55B7" w:rsidRDefault="00CC55B7" w:rsidP="00CC55B7">
      <w:pPr>
        <w:ind w:left="360"/>
        <w:rPr>
          <w:lang w:val="en-US"/>
        </w:rPr>
      </w:pPr>
      <w:r>
        <w:rPr>
          <w:lang w:val="en-US"/>
        </w:rPr>
        <w:t xml:space="preserve">Such harmonization would also remove some of the challenges resulting from the application of </w:t>
      </w:r>
      <w:proofErr w:type="spellStart"/>
      <w:r w:rsidRPr="002C2C5B">
        <w:rPr>
          <w:i/>
          <w:lang w:val="en-US"/>
        </w:rPr>
        <w:t>lex</w:t>
      </w:r>
      <w:proofErr w:type="spellEnd"/>
      <w:r w:rsidRPr="002C2C5B">
        <w:rPr>
          <w:i/>
          <w:lang w:val="en-US"/>
        </w:rPr>
        <w:t xml:space="preserve"> situs</w:t>
      </w:r>
      <w:r>
        <w:rPr>
          <w:lang w:val="en-US"/>
        </w:rPr>
        <w:t xml:space="preserve"> </w:t>
      </w:r>
      <w:r w:rsidR="006D1FC1">
        <w:rPr>
          <w:lang w:val="en-US"/>
        </w:rPr>
        <w:t>(</w:t>
      </w:r>
      <w:r>
        <w:rPr>
          <w:lang w:val="en-US"/>
        </w:rPr>
        <w:t>see our comments to Question 30 above</w:t>
      </w:r>
      <w:r w:rsidR="006D1FC1">
        <w:rPr>
          <w:lang w:val="en-US"/>
        </w:rPr>
        <w:t>)</w:t>
      </w:r>
      <w:r>
        <w:rPr>
          <w:lang w:val="en-US"/>
        </w:rPr>
        <w:t>.</w:t>
      </w:r>
    </w:p>
    <w:p w14:paraId="1CA5AD45" w14:textId="77777777" w:rsidR="00CC55B7" w:rsidRDefault="00CC55B7" w:rsidP="00CC55B7">
      <w:pPr>
        <w:rPr>
          <w:lang w:val="en-US"/>
        </w:rPr>
      </w:pPr>
    </w:p>
    <w:p w14:paraId="1AF4F813" w14:textId="77777777" w:rsidR="00CC55B7" w:rsidRPr="00405EA5" w:rsidRDefault="00CC55B7" w:rsidP="00CC55B7">
      <w:pPr>
        <w:pStyle w:val="ListParagraph"/>
        <w:numPr>
          <w:ilvl w:val="0"/>
          <w:numId w:val="49"/>
        </w:numPr>
        <w:rPr>
          <w:b/>
          <w:lang w:val="en-US"/>
        </w:rPr>
      </w:pPr>
      <w:r w:rsidRPr="00405EA5">
        <w:rPr>
          <w:b/>
          <w:lang w:val="en-US"/>
        </w:rPr>
        <w:t>Please comment on any additional issues concerning any aspect of security interests over IPRs you consider relevant to this Study Question.</w:t>
      </w:r>
    </w:p>
    <w:p w14:paraId="42DDB9BC" w14:textId="77777777" w:rsidR="00CC55B7" w:rsidRDefault="00CC55B7" w:rsidP="00CC55B7">
      <w:pPr>
        <w:rPr>
          <w:b/>
          <w:lang w:val="en-US"/>
        </w:rPr>
      </w:pPr>
    </w:p>
    <w:p w14:paraId="4F2B2A0D" w14:textId="77777777" w:rsidR="00CC55B7" w:rsidRPr="00B51D49" w:rsidRDefault="00CC55B7" w:rsidP="00CC55B7">
      <w:pPr>
        <w:ind w:firstLine="360"/>
        <w:rPr>
          <w:lang w:val="en-US"/>
        </w:rPr>
      </w:pPr>
      <w:r w:rsidRPr="00B51D49">
        <w:rPr>
          <w:lang w:val="en-US"/>
        </w:rPr>
        <w:t>Not applicable.</w:t>
      </w:r>
      <w:r>
        <w:rPr>
          <w:lang w:val="en-US"/>
        </w:rPr>
        <w:t xml:space="preserve"> </w:t>
      </w:r>
    </w:p>
    <w:p w14:paraId="45F91CDF" w14:textId="77777777" w:rsidR="00CF74CD" w:rsidRDefault="00CF74CD" w:rsidP="00E40A75">
      <w:pPr>
        <w:rPr>
          <w:b/>
          <w:color w:val="0070C0"/>
          <w:szCs w:val="18"/>
        </w:rPr>
      </w:pPr>
    </w:p>
    <w:p w14:paraId="00D5834A" w14:textId="77777777" w:rsidR="00CC55B7" w:rsidRDefault="00CC55B7" w:rsidP="00E40A75">
      <w:pPr>
        <w:rPr>
          <w:b/>
          <w:color w:val="0070C0"/>
          <w:szCs w:val="18"/>
        </w:rPr>
      </w:pPr>
    </w:p>
    <w:p w14:paraId="1A1A4D0E" w14:textId="77777777" w:rsidR="00CC55B7" w:rsidRDefault="00CC55B7" w:rsidP="00CC55B7">
      <w:pPr>
        <w:ind w:left="1980" w:hanging="1980"/>
        <w:rPr>
          <w:b/>
          <w:szCs w:val="18"/>
        </w:rPr>
      </w:pPr>
      <w:r w:rsidRPr="00766676">
        <w:rPr>
          <w:b/>
          <w:szCs w:val="18"/>
        </w:rPr>
        <w:t>Summary</w:t>
      </w:r>
      <w:r>
        <w:rPr>
          <w:b/>
          <w:szCs w:val="18"/>
        </w:rPr>
        <w:t xml:space="preserve">: </w:t>
      </w:r>
    </w:p>
    <w:p w14:paraId="7E0ADB24" w14:textId="77777777" w:rsidR="00CC55B7" w:rsidRDefault="00CC55B7" w:rsidP="00CC55B7">
      <w:pPr>
        <w:ind w:left="1980" w:hanging="1980"/>
        <w:rPr>
          <w:b/>
          <w:szCs w:val="18"/>
        </w:rPr>
      </w:pPr>
    </w:p>
    <w:p w14:paraId="0185DD3E" w14:textId="074FDC30" w:rsidR="00CC55B7" w:rsidRPr="003146FF" w:rsidRDefault="00CC55B7" w:rsidP="00CC55B7">
      <w:pPr>
        <w:rPr>
          <w:lang w:val="en-US"/>
        </w:rPr>
      </w:pPr>
      <w:r w:rsidRPr="003146FF">
        <w:rPr>
          <w:lang w:val="en-US"/>
        </w:rPr>
        <w:t>In Denmark</w:t>
      </w:r>
      <w:r>
        <w:rPr>
          <w:lang w:val="en-US"/>
        </w:rPr>
        <w:t>,</w:t>
      </w:r>
      <w:r w:rsidRPr="003146FF">
        <w:rPr>
          <w:lang w:val="en-US"/>
        </w:rPr>
        <w:t xml:space="preserve"> it is possible to create security interes</w:t>
      </w:r>
      <w:r>
        <w:rPr>
          <w:lang w:val="en-US"/>
        </w:rPr>
        <w:t xml:space="preserve">ts over IPRs by way of </w:t>
      </w:r>
      <w:r w:rsidR="006D1FC1">
        <w:rPr>
          <w:lang w:val="en-US"/>
        </w:rPr>
        <w:t>fixed charge</w:t>
      </w:r>
      <w:r w:rsidR="003A3CEA">
        <w:rPr>
          <w:lang w:val="en-US"/>
        </w:rPr>
        <w:t>s</w:t>
      </w:r>
      <w:r w:rsidR="006D1FC1">
        <w:rPr>
          <w:lang w:val="en-US"/>
        </w:rPr>
        <w:t xml:space="preserve"> </w:t>
      </w:r>
      <w:r>
        <w:rPr>
          <w:lang w:val="en-US"/>
        </w:rPr>
        <w:t>and floating charge</w:t>
      </w:r>
      <w:r w:rsidR="003A3CEA">
        <w:rPr>
          <w:lang w:val="en-US"/>
        </w:rPr>
        <w:t>s</w:t>
      </w:r>
      <w:r>
        <w:rPr>
          <w:lang w:val="en-US"/>
        </w:rPr>
        <w:t>.</w:t>
      </w:r>
      <w:r w:rsidR="00EE0C7A">
        <w:rPr>
          <w:lang w:val="en-US"/>
        </w:rPr>
        <w:t xml:space="preserve"> Neither</w:t>
      </w:r>
      <w:r w:rsidR="003A3CEA">
        <w:rPr>
          <w:lang w:val="en-US"/>
        </w:rPr>
        <w:t xml:space="preserve"> a</w:t>
      </w:r>
      <w:r w:rsidR="006D1FC1">
        <w:rPr>
          <w:lang w:val="en-US"/>
        </w:rPr>
        <w:t xml:space="preserve"> fixed charge </w:t>
      </w:r>
      <w:r>
        <w:rPr>
          <w:lang w:val="en-US"/>
        </w:rPr>
        <w:t xml:space="preserve">or </w:t>
      </w:r>
      <w:r w:rsidR="003A3CEA">
        <w:rPr>
          <w:lang w:val="en-US"/>
        </w:rPr>
        <w:t xml:space="preserve">a </w:t>
      </w:r>
      <w:r>
        <w:rPr>
          <w:lang w:val="en-US"/>
        </w:rPr>
        <w:t xml:space="preserve">floating charge are characterized by the full assignment of the underlying IPR, nor does it authorize the security taker to use the underlying IPR or realize the IPR before default. However, the parties generally enjoy freedom of contract when drawing up their security interest agreement. Thus, the parties can agree </w:t>
      </w:r>
      <w:r w:rsidRPr="002C2C5B">
        <w:rPr>
          <w:i/>
          <w:lang w:val="en-US"/>
        </w:rPr>
        <w:t>inter alia</w:t>
      </w:r>
      <w:r>
        <w:rPr>
          <w:lang w:val="en-US"/>
        </w:rPr>
        <w:t xml:space="preserve"> that the security taker can use the IPR etc. The Danish Group considers it to be an improvement of the current law, if, by law, the security taker was granted a right to be notified about any </w:t>
      </w:r>
      <w:r>
        <w:rPr>
          <w:lang w:val="en-US"/>
        </w:rPr>
        <w:lastRenderedPageBreak/>
        <w:t xml:space="preserve">official challenges of the encumbered IPR. The Danish Group further considers that harmonization of laws concerning security interests over IPR is desirable and finds that </w:t>
      </w:r>
      <w:r w:rsidR="006D1FC1">
        <w:rPr>
          <w:lang w:val="en-US"/>
        </w:rPr>
        <w:t>both fixed charge</w:t>
      </w:r>
      <w:r w:rsidR="00EE0C7A">
        <w:rPr>
          <w:lang w:val="en-US"/>
        </w:rPr>
        <w:t>s</w:t>
      </w:r>
      <w:r w:rsidR="006D1FC1">
        <w:rPr>
          <w:lang w:val="en-US"/>
        </w:rPr>
        <w:t xml:space="preserve"> and floating </w:t>
      </w:r>
      <w:r w:rsidR="006D1FC1" w:rsidRPr="00EE0C7A">
        <w:rPr>
          <w:lang w:val="en-US"/>
        </w:rPr>
        <w:t>charge</w:t>
      </w:r>
      <w:r w:rsidR="00EE0C7A" w:rsidRPr="00EE0C7A">
        <w:rPr>
          <w:lang w:val="en-US"/>
        </w:rPr>
        <w:t>s</w:t>
      </w:r>
      <w:r w:rsidR="006D1FC1" w:rsidRPr="00EE0C7A">
        <w:rPr>
          <w:lang w:val="en-US"/>
        </w:rPr>
        <w:t xml:space="preserve"> </w:t>
      </w:r>
      <w:r>
        <w:rPr>
          <w:lang w:val="en-US"/>
        </w:rPr>
        <w:t xml:space="preserve">should be available as minimum standard in all countries. </w:t>
      </w:r>
    </w:p>
    <w:p w14:paraId="078557A3" w14:textId="77777777" w:rsidR="00CC55B7" w:rsidRPr="00CC55B7" w:rsidRDefault="00CC55B7" w:rsidP="00E40A75">
      <w:pPr>
        <w:rPr>
          <w:b/>
          <w:color w:val="0070C0"/>
          <w:szCs w:val="18"/>
          <w:lang w:val="en-US"/>
        </w:rPr>
      </w:pPr>
    </w:p>
    <w:sectPr w:rsidR="00CC55B7" w:rsidRPr="00CC55B7" w:rsidSect="00F46182">
      <w:footerReference w:type="default" r:id="rId7"/>
      <w:headerReference w:type="first" r:id="rId8"/>
      <w:pgSz w:w="11906" w:h="16838" w:code="9"/>
      <w:pgMar w:top="2296" w:right="1418" w:bottom="2268" w:left="1418" w:header="39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73F4F" w14:textId="77777777" w:rsidR="00286A36" w:rsidRDefault="00286A36" w:rsidP="00460BA1">
      <w:pPr>
        <w:spacing w:line="240" w:lineRule="auto"/>
      </w:pPr>
      <w:r>
        <w:separator/>
      </w:r>
    </w:p>
  </w:endnote>
  <w:endnote w:type="continuationSeparator" w:id="0">
    <w:p w14:paraId="5BA22404" w14:textId="77777777" w:rsidR="00286A36" w:rsidRDefault="00286A36" w:rsidP="00460BA1">
      <w:pPr>
        <w:spacing w:line="240" w:lineRule="auto"/>
      </w:pPr>
      <w:r>
        <w:continuationSeparator/>
      </w:r>
    </w:p>
  </w:endnote>
  <w:endnote w:type="continuationNotice" w:id="1">
    <w:p w14:paraId="717633D6" w14:textId="77777777" w:rsidR="00286A36" w:rsidRDefault="00286A3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5118B" w14:textId="77777777" w:rsidR="00887A3E" w:rsidRDefault="00887A3E" w:rsidP="00091994">
    <w:pPr>
      <w:pStyle w:val="Footer"/>
      <w:jc w:val="center"/>
    </w:pPr>
    <w:r>
      <w:fldChar w:fldCharType="begin"/>
    </w:r>
    <w:r>
      <w:instrText xml:space="preserve"> PAGE   \* MERGEFORMAT </w:instrText>
    </w:r>
    <w:r>
      <w:fldChar w:fldCharType="separate"/>
    </w:r>
    <w:r w:rsidR="00657986">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82C22" w14:textId="77777777" w:rsidR="00286A36" w:rsidRDefault="00286A36" w:rsidP="00460BA1">
      <w:pPr>
        <w:spacing w:line="240" w:lineRule="auto"/>
      </w:pPr>
      <w:r>
        <w:separator/>
      </w:r>
    </w:p>
  </w:footnote>
  <w:footnote w:type="continuationSeparator" w:id="0">
    <w:p w14:paraId="25DD39F8" w14:textId="77777777" w:rsidR="00286A36" w:rsidRDefault="00286A36" w:rsidP="00460BA1">
      <w:pPr>
        <w:spacing w:line="240" w:lineRule="auto"/>
      </w:pPr>
      <w:r>
        <w:continuationSeparator/>
      </w:r>
    </w:p>
  </w:footnote>
  <w:footnote w:type="continuationNotice" w:id="1">
    <w:p w14:paraId="7CA3055B" w14:textId="77777777" w:rsidR="00286A36" w:rsidRDefault="00286A36">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34C22" w14:textId="77777777" w:rsidR="001618C6" w:rsidRDefault="00CF74CD" w:rsidP="00CF74CD">
    <w:pPr>
      <w:pStyle w:val="Header"/>
      <w:jc w:val="right"/>
    </w:pPr>
    <w:r>
      <w:rPr>
        <w:noProof/>
        <w:lang w:val="da-DK" w:eastAsia="da-DK"/>
      </w:rPr>
      <w:drawing>
        <wp:inline distT="0" distB="0" distL="0" distR="0" wp14:anchorId="0183B7B0" wp14:editId="352A9CA7">
          <wp:extent cx="1017905" cy="9144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7905" cy="9144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35AFA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F927C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9E67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DE87E3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28416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CA24A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F4381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0C34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2EAEF0"/>
    <w:lvl w:ilvl="0">
      <w:start w:val="1"/>
      <w:numFmt w:val="decimal"/>
      <w:pStyle w:val="ListNumber"/>
      <w:lvlText w:val="%1."/>
      <w:lvlJc w:val="left"/>
      <w:pPr>
        <w:tabs>
          <w:tab w:val="num" w:pos="992"/>
        </w:tabs>
        <w:ind w:left="992" w:hanging="992"/>
      </w:pPr>
      <w:rPr>
        <w:rFonts w:hint="default"/>
      </w:rPr>
    </w:lvl>
  </w:abstractNum>
  <w:abstractNum w:abstractNumId="9" w15:restartNumberingAfterBreak="0">
    <w:nsid w:val="FFFFFF89"/>
    <w:multiLevelType w:val="singleLevel"/>
    <w:tmpl w:val="E020C7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9B7710"/>
    <w:multiLevelType w:val="multilevel"/>
    <w:tmpl w:val="EBEE9304"/>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1140F59"/>
    <w:multiLevelType w:val="hybridMultilevel"/>
    <w:tmpl w:val="63042B9C"/>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066A4B61"/>
    <w:multiLevelType w:val="multilevel"/>
    <w:tmpl w:val="3EC6A7A4"/>
    <w:lvl w:ilvl="0">
      <w:start w:val="1"/>
      <w:numFmt w:val="bullet"/>
      <w:pStyle w:val="Opstillingmedprik"/>
      <w:lvlText w:val=""/>
      <w:lvlJc w:val="left"/>
      <w:pPr>
        <w:tabs>
          <w:tab w:val="num" w:pos="1491"/>
        </w:tabs>
        <w:ind w:left="1491" w:hanging="499"/>
      </w:pPr>
      <w:rPr>
        <w:rFonts w:ascii="Symbol" w:hAnsi="Symbol" w:hint="default"/>
      </w:rPr>
    </w:lvl>
    <w:lvl w:ilvl="1">
      <w:start w:val="1"/>
      <w:numFmt w:val="bullet"/>
      <w:lvlText w:val="°"/>
      <w:lvlJc w:val="left"/>
      <w:pPr>
        <w:tabs>
          <w:tab w:val="num" w:pos="1990"/>
        </w:tabs>
        <w:ind w:left="1990" w:hanging="499"/>
      </w:pPr>
      <w:rPr>
        <w:rFonts w:ascii="Courier New" w:hAnsi="Courier New" w:hint="default"/>
      </w:rPr>
    </w:lvl>
    <w:lvl w:ilvl="2">
      <w:start w:val="1"/>
      <w:numFmt w:val="bullet"/>
      <w:lvlText w:val=""/>
      <w:lvlJc w:val="left"/>
      <w:pPr>
        <w:tabs>
          <w:tab w:val="num" w:pos="2489"/>
        </w:tabs>
        <w:ind w:left="2489" w:hanging="499"/>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0BD7702B"/>
    <w:multiLevelType w:val="hybridMultilevel"/>
    <w:tmpl w:val="ACA25076"/>
    <w:lvl w:ilvl="0" w:tplc="FE129648">
      <w:start w:val="1"/>
      <w:numFmt w:val="upperLetter"/>
      <w:pStyle w:val="OpstillingmedA"/>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111D41F1"/>
    <w:multiLevelType w:val="hybridMultilevel"/>
    <w:tmpl w:val="1962032A"/>
    <w:lvl w:ilvl="0" w:tplc="924026A6">
      <w:start w:val="1"/>
      <w:numFmt w:val="lowerRoman"/>
      <w:lvlText w:val="%1."/>
      <w:lvlJc w:val="righ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15B6092A"/>
    <w:multiLevelType w:val="multilevel"/>
    <w:tmpl w:val="EBEE9304"/>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00C1A67"/>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14042B2"/>
    <w:multiLevelType w:val="hybridMultilevel"/>
    <w:tmpl w:val="548AB366"/>
    <w:lvl w:ilvl="0" w:tplc="3C5ACE76">
      <w:start w:val="2"/>
      <w:numFmt w:val="upp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290A317B"/>
    <w:multiLevelType w:val="hybridMultilevel"/>
    <w:tmpl w:val="B1045B9E"/>
    <w:lvl w:ilvl="0" w:tplc="76062F30">
      <w:numFmt w:val="bullet"/>
      <w:lvlText w:val="-"/>
      <w:lvlJc w:val="left"/>
      <w:pPr>
        <w:ind w:left="1080" w:hanging="360"/>
      </w:pPr>
      <w:rPr>
        <w:rFonts w:ascii="Verdana" w:eastAsiaTheme="minorHAnsi" w:hAnsi="Verdana"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9" w15:restartNumberingAfterBreak="0">
    <w:nsid w:val="296F51C4"/>
    <w:multiLevelType w:val="hybridMultilevel"/>
    <w:tmpl w:val="B77EF8C8"/>
    <w:lvl w:ilvl="0" w:tplc="0406000F">
      <w:start w:val="1"/>
      <w:numFmt w:val="decimal"/>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0" w15:restartNumberingAfterBreak="0">
    <w:nsid w:val="38D2124B"/>
    <w:multiLevelType w:val="hybridMultilevel"/>
    <w:tmpl w:val="F7505F0E"/>
    <w:lvl w:ilvl="0" w:tplc="BDB2C8AE">
      <w:start w:val="21"/>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3A84287E"/>
    <w:multiLevelType w:val="hybridMultilevel"/>
    <w:tmpl w:val="A3903440"/>
    <w:lvl w:ilvl="0" w:tplc="3C5ACE76">
      <w:start w:val="1"/>
      <w:numFmt w:val="upp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3C39091C"/>
    <w:multiLevelType w:val="hybridMultilevel"/>
    <w:tmpl w:val="5D2E40C2"/>
    <w:lvl w:ilvl="0" w:tplc="949ED4FA">
      <w:start w:val="1"/>
      <w:numFmt w:val="upperLetter"/>
      <w:lvlText w:val="(%1)"/>
      <w:lvlJc w:val="righ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3E951793"/>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0263E6F"/>
    <w:multiLevelType w:val="multilevel"/>
    <w:tmpl w:val="EBEE9304"/>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1D41AE6"/>
    <w:multiLevelType w:val="hybridMultilevel"/>
    <w:tmpl w:val="9A2C30B6"/>
    <w:lvl w:ilvl="0" w:tplc="AA80A2F2">
      <w:numFmt w:val="none"/>
      <w:lvlText w:val="daß"/>
      <w:lvlJc w:val="left"/>
      <w:pPr>
        <w:tabs>
          <w:tab w:val="num" w:pos="992"/>
        </w:tabs>
        <w:ind w:left="992" w:hanging="992"/>
      </w:pPr>
      <w:rPr>
        <w:rFonts w:hint="default"/>
        <w:u w:val="words"/>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6" w15:restartNumberingAfterBreak="0">
    <w:nsid w:val="44D55F28"/>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5117215"/>
    <w:multiLevelType w:val="multilevel"/>
    <w:tmpl w:val="807C9C10"/>
    <w:lvl w:ilvl="0">
      <w:start w:val="1"/>
      <w:numFmt w:val="lowerRoman"/>
      <w:lvlText w:val="(%1)"/>
      <w:lvlJc w:val="left"/>
      <w:pPr>
        <w:ind w:left="4272" w:hanging="360"/>
      </w:pPr>
      <w:rPr>
        <w:rFonts w:hint="default"/>
      </w:rPr>
    </w:lvl>
    <w:lvl w:ilvl="1">
      <w:start w:val="1"/>
      <w:numFmt w:val="lowerLetter"/>
      <w:lvlText w:val="%2)"/>
      <w:lvlJc w:val="left"/>
      <w:pPr>
        <w:ind w:left="3640" w:hanging="360"/>
      </w:pPr>
      <w:rPr>
        <w:rFonts w:hint="default"/>
      </w:rPr>
    </w:lvl>
    <w:lvl w:ilvl="2">
      <w:start w:val="1"/>
      <w:numFmt w:val="lowerRoman"/>
      <w:lvlText w:val="%3)"/>
      <w:lvlJc w:val="left"/>
      <w:pPr>
        <w:ind w:left="4000" w:hanging="360"/>
      </w:pPr>
      <w:rPr>
        <w:rFonts w:hint="default"/>
      </w:rPr>
    </w:lvl>
    <w:lvl w:ilvl="3">
      <w:start w:val="1"/>
      <w:numFmt w:val="decimal"/>
      <w:lvlText w:val="(%4)"/>
      <w:lvlJc w:val="left"/>
      <w:pPr>
        <w:ind w:left="4360" w:hanging="360"/>
      </w:pPr>
      <w:rPr>
        <w:rFonts w:hint="default"/>
      </w:rPr>
    </w:lvl>
    <w:lvl w:ilvl="4">
      <w:start w:val="1"/>
      <w:numFmt w:val="lowerLetter"/>
      <w:lvlText w:val="(%5)"/>
      <w:lvlJc w:val="left"/>
      <w:pPr>
        <w:ind w:left="4720" w:hanging="360"/>
      </w:pPr>
      <w:rPr>
        <w:rFonts w:hint="default"/>
      </w:rPr>
    </w:lvl>
    <w:lvl w:ilvl="5">
      <w:start w:val="1"/>
      <w:numFmt w:val="lowerRoman"/>
      <w:lvlText w:val="(%6)"/>
      <w:lvlJc w:val="left"/>
      <w:pPr>
        <w:ind w:left="5080" w:hanging="360"/>
      </w:pPr>
      <w:rPr>
        <w:rFonts w:hint="default"/>
      </w:rPr>
    </w:lvl>
    <w:lvl w:ilvl="6">
      <w:start w:val="1"/>
      <w:numFmt w:val="decimal"/>
      <w:lvlText w:val="%7."/>
      <w:lvlJc w:val="left"/>
      <w:pPr>
        <w:ind w:left="5440" w:hanging="360"/>
      </w:pPr>
      <w:rPr>
        <w:rFonts w:hint="default"/>
      </w:rPr>
    </w:lvl>
    <w:lvl w:ilvl="7">
      <w:start w:val="1"/>
      <w:numFmt w:val="lowerLetter"/>
      <w:lvlText w:val="%8."/>
      <w:lvlJc w:val="left"/>
      <w:pPr>
        <w:ind w:left="5800" w:hanging="360"/>
      </w:pPr>
      <w:rPr>
        <w:rFonts w:hint="default"/>
      </w:rPr>
    </w:lvl>
    <w:lvl w:ilvl="8">
      <w:start w:val="1"/>
      <w:numFmt w:val="lowerRoman"/>
      <w:lvlText w:val="%9."/>
      <w:lvlJc w:val="left"/>
      <w:pPr>
        <w:ind w:left="6160" w:hanging="360"/>
      </w:pPr>
      <w:rPr>
        <w:rFonts w:hint="default"/>
      </w:rPr>
    </w:lvl>
  </w:abstractNum>
  <w:abstractNum w:abstractNumId="28" w15:restartNumberingAfterBreak="0">
    <w:nsid w:val="47B23083"/>
    <w:multiLevelType w:val="hybridMultilevel"/>
    <w:tmpl w:val="1E60D2CA"/>
    <w:lvl w:ilvl="0" w:tplc="AA784AE8">
      <w:start w:val="1"/>
      <w:numFmt w:val="lowerLetter"/>
      <w:lvlText w:val="%1.)"/>
      <w:lvlJc w:val="left"/>
      <w:pPr>
        <w:ind w:left="1287" w:hanging="360"/>
      </w:pPr>
      <w:rPr>
        <w:rFonts w:hint="default"/>
      </w:rPr>
    </w:lvl>
    <w:lvl w:ilvl="1" w:tplc="04060019">
      <w:start w:val="1"/>
      <w:numFmt w:val="lowerLetter"/>
      <w:lvlText w:val="%2."/>
      <w:lvlJc w:val="left"/>
      <w:pPr>
        <w:ind w:left="2007" w:hanging="360"/>
      </w:pPr>
    </w:lvl>
    <w:lvl w:ilvl="2" w:tplc="0406001B" w:tentative="1">
      <w:start w:val="1"/>
      <w:numFmt w:val="lowerRoman"/>
      <w:lvlText w:val="%3."/>
      <w:lvlJc w:val="right"/>
      <w:pPr>
        <w:ind w:left="2727" w:hanging="180"/>
      </w:pPr>
    </w:lvl>
    <w:lvl w:ilvl="3" w:tplc="0406000F" w:tentative="1">
      <w:start w:val="1"/>
      <w:numFmt w:val="decimal"/>
      <w:lvlText w:val="%4."/>
      <w:lvlJc w:val="left"/>
      <w:pPr>
        <w:ind w:left="3447" w:hanging="360"/>
      </w:pPr>
    </w:lvl>
    <w:lvl w:ilvl="4" w:tplc="04060019" w:tentative="1">
      <w:start w:val="1"/>
      <w:numFmt w:val="lowerLetter"/>
      <w:lvlText w:val="%5."/>
      <w:lvlJc w:val="left"/>
      <w:pPr>
        <w:ind w:left="4167" w:hanging="360"/>
      </w:pPr>
    </w:lvl>
    <w:lvl w:ilvl="5" w:tplc="0406001B" w:tentative="1">
      <w:start w:val="1"/>
      <w:numFmt w:val="lowerRoman"/>
      <w:lvlText w:val="%6."/>
      <w:lvlJc w:val="right"/>
      <w:pPr>
        <w:ind w:left="4887" w:hanging="180"/>
      </w:pPr>
    </w:lvl>
    <w:lvl w:ilvl="6" w:tplc="0406000F" w:tentative="1">
      <w:start w:val="1"/>
      <w:numFmt w:val="decimal"/>
      <w:lvlText w:val="%7."/>
      <w:lvlJc w:val="left"/>
      <w:pPr>
        <w:ind w:left="5607" w:hanging="360"/>
      </w:pPr>
    </w:lvl>
    <w:lvl w:ilvl="7" w:tplc="04060019" w:tentative="1">
      <w:start w:val="1"/>
      <w:numFmt w:val="lowerLetter"/>
      <w:lvlText w:val="%8."/>
      <w:lvlJc w:val="left"/>
      <w:pPr>
        <w:ind w:left="6327" w:hanging="360"/>
      </w:pPr>
    </w:lvl>
    <w:lvl w:ilvl="8" w:tplc="0406001B" w:tentative="1">
      <w:start w:val="1"/>
      <w:numFmt w:val="lowerRoman"/>
      <w:lvlText w:val="%9."/>
      <w:lvlJc w:val="right"/>
      <w:pPr>
        <w:ind w:left="7047" w:hanging="180"/>
      </w:pPr>
    </w:lvl>
  </w:abstractNum>
  <w:abstractNum w:abstractNumId="29" w15:restartNumberingAfterBreak="0">
    <w:nsid w:val="47E72F64"/>
    <w:multiLevelType w:val="hybridMultilevel"/>
    <w:tmpl w:val="96605804"/>
    <w:lvl w:ilvl="0" w:tplc="8FB82B68">
      <w:numFmt w:val="none"/>
      <w:lvlText w:val="at"/>
      <w:lvlJc w:val="left"/>
      <w:pPr>
        <w:tabs>
          <w:tab w:val="num" w:pos="1985"/>
        </w:tabs>
        <w:ind w:left="1985" w:hanging="993"/>
      </w:pPr>
      <w:rPr>
        <w:rFonts w:hint="default"/>
        <w:u w:val="words"/>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0" w15:restartNumberingAfterBreak="0">
    <w:nsid w:val="49DE101A"/>
    <w:multiLevelType w:val="hybridMultilevel"/>
    <w:tmpl w:val="8B3269C8"/>
    <w:lvl w:ilvl="0" w:tplc="73B8C1B2">
      <w:start w:val="1"/>
      <w:numFmt w:val="lowerLetter"/>
      <w:lvlText w:val="%1)"/>
      <w:lvlJc w:val="left"/>
      <w:pPr>
        <w:ind w:left="720" w:hanging="360"/>
      </w:pPr>
      <w:rPr>
        <w:rFonts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4BF42264"/>
    <w:multiLevelType w:val="hybridMultilevel"/>
    <w:tmpl w:val="1A9403D4"/>
    <w:lvl w:ilvl="0" w:tplc="3A38C3DC">
      <w:start w:val="1"/>
      <w:numFmt w:val="decimal"/>
      <w:pStyle w:val="Opstillingmed1"/>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4DF446A9"/>
    <w:multiLevelType w:val="hybridMultilevel"/>
    <w:tmpl w:val="07A0C1DA"/>
    <w:lvl w:ilvl="0" w:tplc="0406001B">
      <w:start w:val="1"/>
      <w:numFmt w:val="lowerRoman"/>
      <w:lvlText w:val="%1."/>
      <w:lvlJc w:val="righ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51FB42AA"/>
    <w:multiLevelType w:val="multilevel"/>
    <w:tmpl w:val="458EE53A"/>
    <w:lvl w:ilvl="0">
      <w:start w:val="1"/>
      <w:numFmt w:val="decimal"/>
      <w:pStyle w:val="Heading1"/>
      <w:lvlText w:val="%1"/>
      <w:lvlJc w:val="left"/>
      <w:pPr>
        <w:ind w:left="992" w:hanging="992"/>
      </w:pPr>
      <w:rPr>
        <w:rFonts w:hint="default"/>
      </w:rPr>
    </w:lvl>
    <w:lvl w:ilvl="1">
      <w:start w:val="1"/>
      <w:numFmt w:val="decimal"/>
      <w:pStyle w:val="Heading2"/>
      <w:lvlText w:val="%1.%2"/>
      <w:lvlJc w:val="left"/>
      <w:pPr>
        <w:ind w:left="992" w:hanging="992"/>
      </w:pPr>
      <w:rPr>
        <w:rFonts w:hint="default"/>
        <w:b w:val="0"/>
        <w:i w:val="0"/>
      </w:rPr>
    </w:lvl>
    <w:lvl w:ilvl="2">
      <w:start w:val="1"/>
      <w:numFmt w:val="decimal"/>
      <w:pStyle w:val="Heading3"/>
      <w:lvlText w:val="%1.%2.%3"/>
      <w:lvlJc w:val="left"/>
      <w:pPr>
        <w:ind w:left="992" w:hanging="992"/>
      </w:pPr>
      <w:rPr>
        <w:rFonts w:hint="default"/>
        <w:b w:val="0"/>
        <w:i w:val="0"/>
      </w:rPr>
    </w:lvl>
    <w:lvl w:ilvl="3">
      <w:start w:val="1"/>
      <w:numFmt w:val="decimal"/>
      <w:pStyle w:val="Heading4"/>
      <w:lvlText w:val="%1.%2.%3.%4"/>
      <w:lvlJc w:val="left"/>
      <w:pPr>
        <w:ind w:left="992" w:hanging="992"/>
      </w:pPr>
      <w:rPr>
        <w:rFonts w:hint="default"/>
        <w:b w:val="0"/>
        <w:i w:val="0"/>
      </w:rPr>
    </w:lvl>
    <w:lvl w:ilvl="4">
      <w:start w:val="1"/>
      <w:numFmt w:val="decimal"/>
      <w:pStyle w:val="Heading5"/>
      <w:lvlText w:val="%1.%2.%3.%4.%5"/>
      <w:lvlJc w:val="left"/>
      <w:pPr>
        <w:ind w:left="992" w:hanging="992"/>
      </w:pPr>
      <w:rPr>
        <w:rFonts w:hint="default"/>
      </w:rPr>
    </w:lvl>
    <w:lvl w:ilvl="5">
      <w:start w:val="1"/>
      <w:numFmt w:val="decimal"/>
      <w:pStyle w:val="Heading6"/>
      <w:lvlText w:val="%1.%2.%3.%4.%5.%6"/>
      <w:lvlJc w:val="left"/>
      <w:pPr>
        <w:ind w:left="992" w:hanging="992"/>
      </w:pPr>
      <w:rPr>
        <w:rFonts w:hint="default"/>
      </w:rPr>
    </w:lvl>
    <w:lvl w:ilvl="6">
      <w:start w:val="1"/>
      <w:numFmt w:val="decimal"/>
      <w:pStyle w:val="Heading7"/>
      <w:lvlText w:val="%1.%2.%3.%4.%5.%6.%7"/>
      <w:lvlJc w:val="left"/>
      <w:pPr>
        <w:ind w:left="992" w:hanging="992"/>
      </w:pPr>
      <w:rPr>
        <w:rFonts w:hint="default"/>
      </w:rPr>
    </w:lvl>
    <w:lvl w:ilvl="7">
      <w:start w:val="1"/>
      <w:numFmt w:val="decimal"/>
      <w:pStyle w:val="Heading8"/>
      <w:lvlText w:val="%1.%2.%3.%4.%5.%6.%7.%8"/>
      <w:lvlJc w:val="left"/>
      <w:pPr>
        <w:ind w:left="992" w:hanging="992"/>
      </w:pPr>
      <w:rPr>
        <w:rFonts w:hint="default"/>
      </w:rPr>
    </w:lvl>
    <w:lvl w:ilvl="8">
      <w:start w:val="1"/>
      <w:numFmt w:val="decimal"/>
      <w:pStyle w:val="Heading9"/>
      <w:lvlText w:val="%1.%2.%3.%4.%5.%6.%7.%8.%9"/>
      <w:lvlJc w:val="left"/>
      <w:pPr>
        <w:ind w:left="992" w:hanging="992"/>
      </w:pPr>
      <w:rPr>
        <w:rFonts w:hint="default"/>
      </w:rPr>
    </w:lvl>
  </w:abstractNum>
  <w:abstractNum w:abstractNumId="34" w15:restartNumberingAfterBreak="0">
    <w:nsid w:val="5431156C"/>
    <w:multiLevelType w:val="hybridMultilevel"/>
    <w:tmpl w:val="1124FA7E"/>
    <w:lvl w:ilvl="0" w:tplc="51BC31B8">
      <w:start w:val="1"/>
      <w:numFmt w:val="decimal"/>
      <w:pStyle w:val="Opstillingmed10"/>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5A78041D"/>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5CB6C34"/>
    <w:multiLevelType w:val="hybridMultilevel"/>
    <w:tmpl w:val="33BE4A66"/>
    <w:lvl w:ilvl="0" w:tplc="683E77A4">
      <w:start w:val="1"/>
      <w:numFmt w:val="lowerLetter"/>
      <w:lvlText w:val="%1.)"/>
      <w:lvlJc w:val="left"/>
      <w:pPr>
        <w:ind w:left="1352" w:hanging="360"/>
      </w:pPr>
      <w:rPr>
        <w:rFonts w:hint="default"/>
      </w:rPr>
    </w:lvl>
    <w:lvl w:ilvl="1" w:tplc="04060019" w:tentative="1">
      <w:start w:val="1"/>
      <w:numFmt w:val="lowerLetter"/>
      <w:lvlText w:val="%2."/>
      <w:lvlJc w:val="left"/>
      <w:pPr>
        <w:ind w:left="2072" w:hanging="360"/>
      </w:pPr>
    </w:lvl>
    <w:lvl w:ilvl="2" w:tplc="0406001B" w:tentative="1">
      <w:start w:val="1"/>
      <w:numFmt w:val="lowerRoman"/>
      <w:lvlText w:val="%3."/>
      <w:lvlJc w:val="right"/>
      <w:pPr>
        <w:ind w:left="2792" w:hanging="180"/>
      </w:pPr>
    </w:lvl>
    <w:lvl w:ilvl="3" w:tplc="0406000F" w:tentative="1">
      <w:start w:val="1"/>
      <w:numFmt w:val="decimal"/>
      <w:lvlText w:val="%4."/>
      <w:lvlJc w:val="left"/>
      <w:pPr>
        <w:ind w:left="3512" w:hanging="360"/>
      </w:pPr>
    </w:lvl>
    <w:lvl w:ilvl="4" w:tplc="04060019" w:tentative="1">
      <w:start w:val="1"/>
      <w:numFmt w:val="lowerLetter"/>
      <w:lvlText w:val="%5."/>
      <w:lvlJc w:val="left"/>
      <w:pPr>
        <w:ind w:left="4232" w:hanging="360"/>
      </w:pPr>
    </w:lvl>
    <w:lvl w:ilvl="5" w:tplc="0406001B" w:tentative="1">
      <w:start w:val="1"/>
      <w:numFmt w:val="lowerRoman"/>
      <w:lvlText w:val="%6."/>
      <w:lvlJc w:val="right"/>
      <w:pPr>
        <w:ind w:left="4952" w:hanging="180"/>
      </w:pPr>
    </w:lvl>
    <w:lvl w:ilvl="6" w:tplc="0406000F" w:tentative="1">
      <w:start w:val="1"/>
      <w:numFmt w:val="decimal"/>
      <w:lvlText w:val="%7."/>
      <w:lvlJc w:val="left"/>
      <w:pPr>
        <w:ind w:left="5672" w:hanging="360"/>
      </w:pPr>
    </w:lvl>
    <w:lvl w:ilvl="7" w:tplc="04060019" w:tentative="1">
      <w:start w:val="1"/>
      <w:numFmt w:val="lowerLetter"/>
      <w:lvlText w:val="%8."/>
      <w:lvlJc w:val="left"/>
      <w:pPr>
        <w:ind w:left="6392" w:hanging="360"/>
      </w:pPr>
    </w:lvl>
    <w:lvl w:ilvl="8" w:tplc="0406001B" w:tentative="1">
      <w:start w:val="1"/>
      <w:numFmt w:val="lowerRoman"/>
      <w:lvlText w:val="%9."/>
      <w:lvlJc w:val="right"/>
      <w:pPr>
        <w:ind w:left="7112" w:hanging="180"/>
      </w:pPr>
    </w:lvl>
  </w:abstractNum>
  <w:abstractNum w:abstractNumId="37" w15:restartNumberingAfterBreak="0">
    <w:nsid w:val="67A74014"/>
    <w:multiLevelType w:val="multilevel"/>
    <w:tmpl w:val="EBEE9304"/>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7B56A0F"/>
    <w:multiLevelType w:val="hybridMultilevel"/>
    <w:tmpl w:val="1F60EBE2"/>
    <w:lvl w:ilvl="0" w:tplc="9F90D2B0">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6B207260"/>
    <w:multiLevelType w:val="hybridMultilevel"/>
    <w:tmpl w:val="E1CA96D8"/>
    <w:lvl w:ilvl="0" w:tplc="3C5ACE76">
      <w:start w:val="2"/>
      <w:numFmt w:val="upp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6C5D716D"/>
    <w:multiLevelType w:val="multilevel"/>
    <w:tmpl w:val="040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15:restartNumberingAfterBreak="0">
    <w:nsid w:val="6D866E15"/>
    <w:multiLevelType w:val="hybridMultilevel"/>
    <w:tmpl w:val="DFF8EEA2"/>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71313781"/>
    <w:multiLevelType w:val="multilevel"/>
    <w:tmpl w:val="EBEE9304"/>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52152C4"/>
    <w:multiLevelType w:val="hybridMultilevel"/>
    <w:tmpl w:val="C7245EC0"/>
    <w:lvl w:ilvl="0" w:tplc="07B4FA4E">
      <w:start w:val="1"/>
      <w:numFmt w:val="upperRoman"/>
      <w:pStyle w:val="Overskriftsniveau1"/>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4" w15:restartNumberingAfterBreak="0">
    <w:nsid w:val="79CE2187"/>
    <w:multiLevelType w:val="hybridMultilevel"/>
    <w:tmpl w:val="00BA2AA0"/>
    <w:lvl w:ilvl="0" w:tplc="4A1C9912">
      <w:start w:val="31"/>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5" w15:restartNumberingAfterBreak="0">
    <w:nsid w:val="7A502DBE"/>
    <w:multiLevelType w:val="hybridMultilevel"/>
    <w:tmpl w:val="180855E4"/>
    <w:lvl w:ilvl="0" w:tplc="F45AA3F2">
      <w:start w:val="1"/>
      <w:numFmt w:val="lowerRoman"/>
      <w:pStyle w:val="Opstillingmedi"/>
      <w:lvlText w:val="(%1)"/>
      <w:lvlJc w:val="left"/>
      <w:pPr>
        <w:tabs>
          <w:tab w:val="num" w:pos="992"/>
        </w:tabs>
        <w:ind w:left="992" w:hanging="992"/>
      </w:pPr>
      <w:rPr>
        <w:rFonts w:hint="default"/>
      </w:rPr>
    </w:lvl>
    <w:lvl w:ilvl="1" w:tplc="04060019" w:tentative="1">
      <w:start w:val="1"/>
      <w:numFmt w:val="lowerLetter"/>
      <w:lvlText w:val="%2."/>
      <w:lvlJc w:val="left"/>
      <w:pPr>
        <w:tabs>
          <w:tab w:val="num" w:pos="448"/>
        </w:tabs>
        <w:ind w:left="448" w:hanging="360"/>
      </w:pPr>
    </w:lvl>
    <w:lvl w:ilvl="2" w:tplc="0406001B" w:tentative="1">
      <w:start w:val="1"/>
      <w:numFmt w:val="lowerRoman"/>
      <w:lvlText w:val="%3."/>
      <w:lvlJc w:val="right"/>
      <w:pPr>
        <w:tabs>
          <w:tab w:val="num" w:pos="1168"/>
        </w:tabs>
        <w:ind w:left="1168" w:hanging="180"/>
      </w:pPr>
    </w:lvl>
    <w:lvl w:ilvl="3" w:tplc="0406000F" w:tentative="1">
      <w:start w:val="1"/>
      <w:numFmt w:val="decimal"/>
      <w:lvlText w:val="%4."/>
      <w:lvlJc w:val="left"/>
      <w:pPr>
        <w:tabs>
          <w:tab w:val="num" w:pos="1888"/>
        </w:tabs>
        <w:ind w:left="1888" w:hanging="360"/>
      </w:pPr>
    </w:lvl>
    <w:lvl w:ilvl="4" w:tplc="04060019" w:tentative="1">
      <w:start w:val="1"/>
      <w:numFmt w:val="lowerLetter"/>
      <w:lvlText w:val="%5."/>
      <w:lvlJc w:val="left"/>
      <w:pPr>
        <w:tabs>
          <w:tab w:val="num" w:pos="2608"/>
        </w:tabs>
        <w:ind w:left="2608" w:hanging="360"/>
      </w:pPr>
    </w:lvl>
    <w:lvl w:ilvl="5" w:tplc="0406001B" w:tentative="1">
      <w:start w:val="1"/>
      <w:numFmt w:val="lowerRoman"/>
      <w:lvlText w:val="%6."/>
      <w:lvlJc w:val="right"/>
      <w:pPr>
        <w:tabs>
          <w:tab w:val="num" w:pos="3328"/>
        </w:tabs>
        <w:ind w:left="3328" w:hanging="180"/>
      </w:pPr>
    </w:lvl>
    <w:lvl w:ilvl="6" w:tplc="0406000F" w:tentative="1">
      <w:start w:val="1"/>
      <w:numFmt w:val="decimal"/>
      <w:lvlText w:val="%7."/>
      <w:lvlJc w:val="left"/>
      <w:pPr>
        <w:tabs>
          <w:tab w:val="num" w:pos="4048"/>
        </w:tabs>
        <w:ind w:left="4048" w:hanging="360"/>
      </w:pPr>
    </w:lvl>
    <w:lvl w:ilvl="7" w:tplc="04060019" w:tentative="1">
      <w:start w:val="1"/>
      <w:numFmt w:val="lowerLetter"/>
      <w:lvlText w:val="%8."/>
      <w:lvlJc w:val="left"/>
      <w:pPr>
        <w:tabs>
          <w:tab w:val="num" w:pos="4768"/>
        </w:tabs>
        <w:ind w:left="4768" w:hanging="360"/>
      </w:pPr>
    </w:lvl>
    <w:lvl w:ilvl="8" w:tplc="0406001B" w:tentative="1">
      <w:start w:val="1"/>
      <w:numFmt w:val="lowerRoman"/>
      <w:lvlText w:val="%9."/>
      <w:lvlJc w:val="right"/>
      <w:pPr>
        <w:tabs>
          <w:tab w:val="num" w:pos="5488"/>
        </w:tabs>
        <w:ind w:left="5488" w:hanging="180"/>
      </w:pPr>
    </w:lvl>
  </w:abstractNum>
  <w:abstractNum w:abstractNumId="46" w15:restartNumberingAfterBreak="0">
    <w:nsid w:val="7C1E599A"/>
    <w:multiLevelType w:val="hybridMultilevel"/>
    <w:tmpl w:val="80465F5A"/>
    <w:lvl w:ilvl="0" w:tplc="6A8256F8">
      <w:numFmt w:val="none"/>
      <w:pStyle w:val="Opstillingmedat"/>
      <w:lvlText w:val="that"/>
      <w:lvlJc w:val="left"/>
      <w:pPr>
        <w:tabs>
          <w:tab w:val="num" w:pos="992"/>
        </w:tabs>
        <w:ind w:left="992" w:hanging="992"/>
      </w:pPr>
      <w:rPr>
        <w:rFonts w:hint="default"/>
        <w:u w:val="words"/>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7" w15:restartNumberingAfterBreak="0">
    <w:nsid w:val="7C261E72"/>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D533947"/>
    <w:multiLevelType w:val="hybridMultilevel"/>
    <w:tmpl w:val="43849E44"/>
    <w:lvl w:ilvl="0" w:tplc="22128362">
      <w:start w:val="1"/>
      <w:numFmt w:val="decimal"/>
      <w:lvlText w:val="%1."/>
      <w:lvlJc w:val="left"/>
      <w:pPr>
        <w:ind w:left="502" w:hanging="360"/>
      </w:pPr>
      <w:rPr>
        <w:rFonts w:hint="default"/>
        <w:b/>
        <w:color w:val="auto"/>
      </w:rPr>
    </w:lvl>
    <w:lvl w:ilvl="1" w:tplc="2406541C">
      <w:start w:val="1"/>
      <w:numFmt w:val="lowerLetter"/>
      <w:lvlText w:val="%2."/>
      <w:lvlJc w:val="left"/>
      <w:pPr>
        <w:ind w:left="7176" w:hanging="360"/>
      </w:pPr>
      <w:rPr>
        <w:i w:val="0"/>
        <w:color w:val="auto"/>
      </w:rPr>
    </w:lvl>
    <w:lvl w:ilvl="2" w:tplc="0406001B" w:tentative="1">
      <w:start w:val="1"/>
      <w:numFmt w:val="lowerRoman"/>
      <w:lvlText w:val="%3."/>
      <w:lvlJc w:val="right"/>
      <w:pPr>
        <w:ind w:left="7896" w:hanging="180"/>
      </w:pPr>
    </w:lvl>
    <w:lvl w:ilvl="3" w:tplc="0406000F" w:tentative="1">
      <w:start w:val="1"/>
      <w:numFmt w:val="decimal"/>
      <w:lvlText w:val="%4."/>
      <w:lvlJc w:val="left"/>
      <w:pPr>
        <w:ind w:left="8616" w:hanging="360"/>
      </w:pPr>
    </w:lvl>
    <w:lvl w:ilvl="4" w:tplc="04060019" w:tentative="1">
      <w:start w:val="1"/>
      <w:numFmt w:val="lowerLetter"/>
      <w:lvlText w:val="%5."/>
      <w:lvlJc w:val="left"/>
      <w:pPr>
        <w:ind w:left="9336" w:hanging="360"/>
      </w:pPr>
    </w:lvl>
    <w:lvl w:ilvl="5" w:tplc="0406001B" w:tentative="1">
      <w:start w:val="1"/>
      <w:numFmt w:val="lowerRoman"/>
      <w:lvlText w:val="%6."/>
      <w:lvlJc w:val="right"/>
      <w:pPr>
        <w:ind w:left="10056" w:hanging="180"/>
      </w:pPr>
    </w:lvl>
    <w:lvl w:ilvl="6" w:tplc="0406000F" w:tentative="1">
      <w:start w:val="1"/>
      <w:numFmt w:val="decimal"/>
      <w:lvlText w:val="%7."/>
      <w:lvlJc w:val="left"/>
      <w:pPr>
        <w:ind w:left="10776" w:hanging="360"/>
      </w:pPr>
    </w:lvl>
    <w:lvl w:ilvl="7" w:tplc="04060019" w:tentative="1">
      <w:start w:val="1"/>
      <w:numFmt w:val="lowerLetter"/>
      <w:lvlText w:val="%8."/>
      <w:lvlJc w:val="left"/>
      <w:pPr>
        <w:ind w:left="11496" w:hanging="360"/>
      </w:pPr>
    </w:lvl>
    <w:lvl w:ilvl="8" w:tplc="0406001B" w:tentative="1">
      <w:start w:val="1"/>
      <w:numFmt w:val="lowerRoman"/>
      <w:lvlText w:val="%9."/>
      <w:lvlJc w:val="right"/>
      <w:pPr>
        <w:ind w:left="1221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40"/>
  </w:num>
  <w:num w:numId="13">
    <w:abstractNumId w:val="35"/>
  </w:num>
  <w:num w:numId="14">
    <w:abstractNumId w:val="26"/>
  </w:num>
  <w:num w:numId="15">
    <w:abstractNumId w:val="47"/>
  </w:num>
  <w:num w:numId="16">
    <w:abstractNumId w:val="27"/>
  </w:num>
  <w:num w:numId="17">
    <w:abstractNumId w:val="24"/>
  </w:num>
  <w:num w:numId="18">
    <w:abstractNumId w:val="15"/>
  </w:num>
  <w:num w:numId="19">
    <w:abstractNumId w:val="10"/>
  </w:num>
  <w:num w:numId="20">
    <w:abstractNumId w:val="42"/>
  </w:num>
  <w:num w:numId="21">
    <w:abstractNumId w:val="37"/>
  </w:num>
  <w:num w:numId="22">
    <w:abstractNumId w:val="8"/>
    <w:lvlOverride w:ilvl="0">
      <w:startOverride w:val="1"/>
    </w:lvlOverride>
  </w:num>
  <w:num w:numId="23">
    <w:abstractNumId w:val="14"/>
  </w:num>
  <w:num w:numId="24">
    <w:abstractNumId w:val="29"/>
  </w:num>
  <w:num w:numId="25">
    <w:abstractNumId w:val="45"/>
  </w:num>
  <w:num w:numId="26">
    <w:abstractNumId w:val="25"/>
  </w:num>
  <w:num w:numId="27">
    <w:abstractNumId w:val="46"/>
  </w:num>
  <w:num w:numId="28">
    <w:abstractNumId w:val="12"/>
  </w:num>
  <w:num w:numId="29">
    <w:abstractNumId w:val="41"/>
  </w:num>
  <w:num w:numId="30">
    <w:abstractNumId w:val="31"/>
  </w:num>
  <w:num w:numId="31">
    <w:abstractNumId w:val="32"/>
  </w:num>
  <w:num w:numId="32">
    <w:abstractNumId w:val="13"/>
  </w:num>
  <w:num w:numId="33">
    <w:abstractNumId w:val="22"/>
  </w:num>
  <w:num w:numId="34">
    <w:abstractNumId w:val="23"/>
  </w:num>
  <w:num w:numId="35">
    <w:abstractNumId w:val="16"/>
  </w:num>
  <w:num w:numId="36">
    <w:abstractNumId w:val="34"/>
  </w:num>
  <w:num w:numId="37">
    <w:abstractNumId w:val="17"/>
  </w:num>
  <w:num w:numId="38">
    <w:abstractNumId w:val="39"/>
  </w:num>
  <w:num w:numId="39">
    <w:abstractNumId w:val="43"/>
  </w:num>
  <w:num w:numId="40">
    <w:abstractNumId w:val="21"/>
  </w:num>
  <w:num w:numId="41">
    <w:abstractNumId w:val="48"/>
  </w:num>
  <w:num w:numId="42">
    <w:abstractNumId w:val="30"/>
  </w:num>
  <w:num w:numId="43">
    <w:abstractNumId w:val="11"/>
  </w:num>
  <w:num w:numId="44">
    <w:abstractNumId w:val="44"/>
  </w:num>
  <w:num w:numId="45">
    <w:abstractNumId w:val="20"/>
  </w:num>
  <w:num w:numId="46">
    <w:abstractNumId w:val="38"/>
  </w:num>
  <w:num w:numId="47">
    <w:abstractNumId w:val="28"/>
  </w:num>
  <w:num w:numId="48">
    <w:abstractNumId w:val="36"/>
  </w:num>
  <w:num w:numId="49">
    <w:abstractNumId w:val="19"/>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proofState w:spelling="clean" w:grammar="clean"/>
  <w:defaultTabStop w:val="992"/>
  <w:autoHyphenation/>
  <w:hyphenationZone w:val="142"/>
  <w:characterSpacingControl w:val="doNotCompress"/>
  <w:hdrShapeDefaults>
    <o:shapedefaults v:ext="edit" spidmax="18433"/>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461"/>
    <w:rsid w:val="0000362D"/>
    <w:rsid w:val="00004281"/>
    <w:rsid w:val="00013267"/>
    <w:rsid w:val="00022283"/>
    <w:rsid w:val="00035461"/>
    <w:rsid w:val="00055648"/>
    <w:rsid w:val="00057982"/>
    <w:rsid w:val="00062D7A"/>
    <w:rsid w:val="000803A5"/>
    <w:rsid w:val="00083DF9"/>
    <w:rsid w:val="000876C8"/>
    <w:rsid w:val="00091994"/>
    <w:rsid w:val="000933A8"/>
    <w:rsid w:val="00095E2A"/>
    <w:rsid w:val="00096F6D"/>
    <w:rsid w:val="000B120F"/>
    <w:rsid w:val="000C062B"/>
    <w:rsid w:val="000C3F23"/>
    <w:rsid w:val="001072C7"/>
    <w:rsid w:val="0011002D"/>
    <w:rsid w:val="001148CE"/>
    <w:rsid w:val="0013561E"/>
    <w:rsid w:val="0013588D"/>
    <w:rsid w:val="00152636"/>
    <w:rsid w:val="0015412A"/>
    <w:rsid w:val="001618C6"/>
    <w:rsid w:val="00161FEA"/>
    <w:rsid w:val="00183746"/>
    <w:rsid w:val="00194BAA"/>
    <w:rsid w:val="00195292"/>
    <w:rsid w:val="001A49C5"/>
    <w:rsid w:val="001A6989"/>
    <w:rsid w:val="001B0603"/>
    <w:rsid w:val="001B501F"/>
    <w:rsid w:val="001B6D63"/>
    <w:rsid w:val="001D4214"/>
    <w:rsid w:val="00201E86"/>
    <w:rsid w:val="002029FF"/>
    <w:rsid w:val="00212BD9"/>
    <w:rsid w:val="00224CB1"/>
    <w:rsid w:val="00224F53"/>
    <w:rsid w:val="00236EF2"/>
    <w:rsid w:val="00245DDD"/>
    <w:rsid w:val="0024670B"/>
    <w:rsid w:val="00265827"/>
    <w:rsid w:val="00267C6B"/>
    <w:rsid w:val="00283566"/>
    <w:rsid w:val="00286A36"/>
    <w:rsid w:val="00286BC9"/>
    <w:rsid w:val="00295965"/>
    <w:rsid w:val="002A5083"/>
    <w:rsid w:val="002A60BA"/>
    <w:rsid w:val="002B0BAD"/>
    <w:rsid w:val="002B4B4E"/>
    <w:rsid w:val="002C5157"/>
    <w:rsid w:val="002D3269"/>
    <w:rsid w:val="002E4016"/>
    <w:rsid w:val="00304BA9"/>
    <w:rsid w:val="00304D03"/>
    <w:rsid w:val="00306CC1"/>
    <w:rsid w:val="00330490"/>
    <w:rsid w:val="00332A58"/>
    <w:rsid w:val="00333EBD"/>
    <w:rsid w:val="00335024"/>
    <w:rsid w:val="00335285"/>
    <w:rsid w:val="00345C19"/>
    <w:rsid w:val="00350AE3"/>
    <w:rsid w:val="003510D2"/>
    <w:rsid w:val="00352B13"/>
    <w:rsid w:val="003550EE"/>
    <w:rsid w:val="00361A69"/>
    <w:rsid w:val="00366542"/>
    <w:rsid w:val="003705BF"/>
    <w:rsid w:val="00383517"/>
    <w:rsid w:val="003839AE"/>
    <w:rsid w:val="00392795"/>
    <w:rsid w:val="003930AC"/>
    <w:rsid w:val="003A3CEA"/>
    <w:rsid w:val="003A4A1E"/>
    <w:rsid w:val="003A4F71"/>
    <w:rsid w:val="003B46B0"/>
    <w:rsid w:val="003D2584"/>
    <w:rsid w:val="003D2D0A"/>
    <w:rsid w:val="003E07D4"/>
    <w:rsid w:val="003E42FA"/>
    <w:rsid w:val="003F5C4E"/>
    <w:rsid w:val="003F76CC"/>
    <w:rsid w:val="003F7E30"/>
    <w:rsid w:val="0041063A"/>
    <w:rsid w:val="00411490"/>
    <w:rsid w:val="00411BD0"/>
    <w:rsid w:val="00416DD3"/>
    <w:rsid w:val="00426764"/>
    <w:rsid w:val="00433120"/>
    <w:rsid w:val="00440769"/>
    <w:rsid w:val="00452059"/>
    <w:rsid w:val="00452591"/>
    <w:rsid w:val="00454CB1"/>
    <w:rsid w:val="0045705B"/>
    <w:rsid w:val="004578A8"/>
    <w:rsid w:val="00460BA1"/>
    <w:rsid w:val="00461526"/>
    <w:rsid w:val="00466B56"/>
    <w:rsid w:val="00476940"/>
    <w:rsid w:val="00480892"/>
    <w:rsid w:val="004818B3"/>
    <w:rsid w:val="00483616"/>
    <w:rsid w:val="00484A51"/>
    <w:rsid w:val="00486611"/>
    <w:rsid w:val="004875F1"/>
    <w:rsid w:val="0049765A"/>
    <w:rsid w:val="004A202A"/>
    <w:rsid w:val="004A52A4"/>
    <w:rsid w:val="004A62CD"/>
    <w:rsid w:val="004A68D4"/>
    <w:rsid w:val="004C24A5"/>
    <w:rsid w:val="004C7262"/>
    <w:rsid w:val="004E545C"/>
    <w:rsid w:val="004F0D57"/>
    <w:rsid w:val="005043AD"/>
    <w:rsid w:val="00506629"/>
    <w:rsid w:val="005272A4"/>
    <w:rsid w:val="00543258"/>
    <w:rsid w:val="00554567"/>
    <w:rsid w:val="005556D2"/>
    <w:rsid w:val="00566F70"/>
    <w:rsid w:val="00576E41"/>
    <w:rsid w:val="005834E7"/>
    <w:rsid w:val="005B4E81"/>
    <w:rsid w:val="005B73F2"/>
    <w:rsid w:val="005C1A7B"/>
    <w:rsid w:val="005D2B05"/>
    <w:rsid w:val="005F2180"/>
    <w:rsid w:val="005F542C"/>
    <w:rsid w:val="005F768A"/>
    <w:rsid w:val="006057F4"/>
    <w:rsid w:val="00621B5D"/>
    <w:rsid w:val="00622174"/>
    <w:rsid w:val="006232BA"/>
    <w:rsid w:val="00627771"/>
    <w:rsid w:val="0064088E"/>
    <w:rsid w:val="0064722D"/>
    <w:rsid w:val="00650285"/>
    <w:rsid w:val="00652D5A"/>
    <w:rsid w:val="0065480F"/>
    <w:rsid w:val="0065654D"/>
    <w:rsid w:val="0065790E"/>
    <w:rsid w:val="00657986"/>
    <w:rsid w:val="00666B28"/>
    <w:rsid w:val="006700A5"/>
    <w:rsid w:val="00690294"/>
    <w:rsid w:val="006A1350"/>
    <w:rsid w:val="006C35D1"/>
    <w:rsid w:val="006C4C96"/>
    <w:rsid w:val="006C77C9"/>
    <w:rsid w:val="006D1FC1"/>
    <w:rsid w:val="006D22C7"/>
    <w:rsid w:val="006D2346"/>
    <w:rsid w:val="006E1EFD"/>
    <w:rsid w:val="006E28B7"/>
    <w:rsid w:val="00710977"/>
    <w:rsid w:val="00720F3D"/>
    <w:rsid w:val="007215B3"/>
    <w:rsid w:val="0072260E"/>
    <w:rsid w:val="00730E2C"/>
    <w:rsid w:val="00736398"/>
    <w:rsid w:val="0074191F"/>
    <w:rsid w:val="00743B2C"/>
    <w:rsid w:val="00752D27"/>
    <w:rsid w:val="0075484F"/>
    <w:rsid w:val="00763B33"/>
    <w:rsid w:val="00764DB4"/>
    <w:rsid w:val="0076520A"/>
    <w:rsid w:val="00766676"/>
    <w:rsid w:val="00782482"/>
    <w:rsid w:val="00795FD2"/>
    <w:rsid w:val="007B00C9"/>
    <w:rsid w:val="007B0819"/>
    <w:rsid w:val="007B0A43"/>
    <w:rsid w:val="007C47D5"/>
    <w:rsid w:val="007D1647"/>
    <w:rsid w:val="007D4DD4"/>
    <w:rsid w:val="007F24F2"/>
    <w:rsid w:val="0080742E"/>
    <w:rsid w:val="00814C28"/>
    <w:rsid w:val="0081769F"/>
    <w:rsid w:val="008221A2"/>
    <w:rsid w:val="008312B7"/>
    <w:rsid w:val="00844A1D"/>
    <w:rsid w:val="00852D20"/>
    <w:rsid w:val="008540F5"/>
    <w:rsid w:val="008555EC"/>
    <w:rsid w:val="008628D5"/>
    <w:rsid w:val="008650ED"/>
    <w:rsid w:val="0088483D"/>
    <w:rsid w:val="00887A3E"/>
    <w:rsid w:val="008B03BD"/>
    <w:rsid w:val="008C5292"/>
    <w:rsid w:val="008D79FE"/>
    <w:rsid w:val="008D7A14"/>
    <w:rsid w:val="008E0C6E"/>
    <w:rsid w:val="008E12A4"/>
    <w:rsid w:val="008E2FA9"/>
    <w:rsid w:val="008E49B5"/>
    <w:rsid w:val="008E7AE5"/>
    <w:rsid w:val="008F24D2"/>
    <w:rsid w:val="00901ED6"/>
    <w:rsid w:val="00906B9A"/>
    <w:rsid w:val="009178C2"/>
    <w:rsid w:val="00917DD6"/>
    <w:rsid w:val="00925951"/>
    <w:rsid w:val="00945158"/>
    <w:rsid w:val="009516FA"/>
    <w:rsid w:val="0095468C"/>
    <w:rsid w:val="00960A01"/>
    <w:rsid w:val="00966FFB"/>
    <w:rsid w:val="00967E4D"/>
    <w:rsid w:val="00971108"/>
    <w:rsid w:val="0097404B"/>
    <w:rsid w:val="009A6FA6"/>
    <w:rsid w:val="009B0175"/>
    <w:rsid w:val="009B1E4D"/>
    <w:rsid w:val="009B75AE"/>
    <w:rsid w:val="009E05DF"/>
    <w:rsid w:val="009F44E0"/>
    <w:rsid w:val="009F543E"/>
    <w:rsid w:val="009F7097"/>
    <w:rsid w:val="00A10306"/>
    <w:rsid w:val="00A210B7"/>
    <w:rsid w:val="00A223C8"/>
    <w:rsid w:val="00A40C3B"/>
    <w:rsid w:val="00A41053"/>
    <w:rsid w:val="00A413E7"/>
    <w:rsid w:val="00A42E56"/>
    <w:rsid w:val="00A43826"/>
    <w:rsid w:val="00A456D0"/>
    <w:rsid w:val="00A57009"/>
    <w:rsid w:val="00A65A78"/>
    <w:rsid w:val="00A700D2"/>
    <w:rsid w:val="00A94EF1"/>
    <w:rsid w:val="00AA1E30"/>
    <w:rsid w:val="00AA5005"/>
    <w:rsid w:val="00AB6194"/>
    <w:rsid w:val="00AC7110"/>
    <w:rsid w:val="00AD60F5"/>
    <w:rsid w:val="00AD7EC9"/>
    <w:rsid w:val="00AE6198"/>
    <w:rsid w:val="00B04593"/>
    <w:rsid w:val="00B0746B"/>
    <w:rsid w:val="00B11E91"/>
    <w:rsid w:val="00B22AFA"/>
    <w:rsid w:val="00B27FEC"/>
    <w:rsid w:val="00B33865"/>
    <w:rsid w:val="00B44DCE"/>
    <w:rsid w:val="00B45771"/>
    <w:rsid w:val="00B45C75"/>
    <w:rsid w:val="00B53EB9"/>
    <w:rsid w:val="00B574D5"/>
    <w:rsid w:val="00B611A5"/>
    <w:rsid w:val="00B62429"/>
    <w:rsid w:val="00B63AF1"/>
    <w:rsid w:val="00B86366"/>
    <w:rsid w:val="00B87783"/>
    <w:rsid w:val="00B9016E"/>
    <w:rsid w:val="00B953A0"/>
    <w:rsid w:val="00B97754"/>
    <w:rsid w:val="00BF1AC9"/>
    <w:rsid w:val="00BF29EB"/>
    <w:rsid w:val="00BF2DA5"/>
    <w:rsid w:val="00BF593E"/>
    <w:rsid w:val="00BF5BF7"/>
    <w:rsid w:val="00C02DC5"/>
    <w:rsid w:val="00C034ED"/>
    <w:rsid w:val="00C12E03"/>
    <w:rsid w:val="00C13013"/>
    <w:rsid w:val="00C1520A"/>
    <w:rsid w:val="00C170F2"/>
    <w:rsid w:val="00C227CA"/>
    <w:rsid w:val="00C276F3"/>
    <w:rsid w:val="00C2777D"/>
    <w:rsid w:val="00C277C1"/>
    <w:rsid w:val="00C320E5"/>
    <w:rsid w:val="00C40383"/>
    <w:rsid w:val="00C45481"/>
    <w:rsid w:val="00C510BF"/>
    <w:rsid w:val="00C5127E"/>
    <w:rsid w:val="00C6278E"/>
    <w:rsid w:val="00C64B07"/>
    <w:rsid w:val="00C77310"/>
    <w:rsid w:val="00C9631B"/>
    <w:rsid w:val="00CA0624"/>
    <w:rsid w:val="00CB531D"/>
    <w:rsid w:val="00CB7680"/>
    <w:rsid w:val="00CC163A"/>
    <w:rsid w:val="00CC55B7"/>
    <w:rsid w:val="00CC6090"/>
    <w:rsid w:val="00CE2311"/>
    <w:rsid w:val="00CE3857"/>
    <w:rsid w:val="00CE438E"/>
    <w:rsid w:val="00CF74CD"/>
    <w:rsid w:val="00D0382B"/>
    <w:rsid w:val="00D138E2"/>
    <w:rsid w:val="00D23A23"/>
    <w:rsid w:val="00D310B9"/>
    <w:rsid w:val="00D4384E"/>
    <w:rsid w:val="00D45891"/>
    <w:rsid w:val="00D5456D"/>
    <w:rsid w:val="00D5551C"/>
    <w:rsid w:val="00D85904"/>
    <w:rsid w:val="00DA0B3C"/>
    <w:rsid w:val="00DA24C3"/>
    <w:rsid w:val="00DA482F"/>
    <w:rsid w:val="00DB2CE7"/>
    <w:rsid w:val="00DB4883"/>
    <w:rsid w:val="00DC3E1F"/>
    <w:rsid w:val="00DC5950"/>
    <w:rsid w:val="00DD24CF"/>
    <w:rsid w:val="00DE0465"/>
    <w:rsid w:val="00DF3FEA"/>
    <w:rsid w:val="00E1150C"/>
    <w:rsid w:val="00E4028F"/>
    <w:rsid w:val="00E40A75"/>
    <w:rsid w:val="00E63960"/>
    <w:rsid w:val="00E70867"/>
    <w:rsid w:val="00E83A01"/>
    <w:rsid w:val="00E95642"/>
    <w:rsid w:val="00EB3C79"/>
    <w:rsid w:val="00EB4186"/>
    <w:rsid w:val="00EB5CA9"/>
    <w:rsid w:val="00EC33DC"/>
    <w:rsid w:val="00EE0C7A"/>
    <w:rsid w:val="00EF0E7E"/>
    <w:rsid w:val="00EF150B"/>
    <w:rsid w:val="00EF337D"/>
    <w:rsid w:val="00F06C6A"/>
    <w:rsid w:val="00F07006"/>
    <w:rsid w:val="00F07A89"/>
    <w:rsid w:val="00F123CA"/>
    <w:rsid w:val="00F12B0A"/>
    <w:rsid w:val="00F46182"/>
    <w:rsid w:val="00F6667B"/>
    <w:rsid w:val="00F815DC"/>
    <w:rsid w:val="00F86AAC"/>
    <w:rsid w:val="00FA2BCE"/>
    <w:rsid w:val="00FA327A"/>
    <w:rsid w:val="00FA548A"/>
    <w:rsid w:val="00FC1FEB"/>
    <w:rsid w:val="00FD149F"/>
    <w:rsid w:val="00FE09D2"/>
    <w:rsid w:val="00FF2E45"/>
    <w:rsid w:val="00FF5C3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EC87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3" w:unhideWhenUsed="1" w:qFormat="1"/>
    <w:lsdException w:name="heading 3" w:uiPriority="3" w:qFormat="1"/>
    <w:lsdException w:name="heading 4" w:uiPriority="3"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0" w:unhideWhenUsed="1"/>
    <w:lsdException w:name="toc 2" w:semiHidden="1" w:uiPriority="40" w:unhideWhenUsed="1"/>
    <w:lsdException w:name="toc 3" w:semiHidden="1" w:uiPriority="40" w:unhideWhenUsed="1"/>
    <w:lsdException w:name="toc 4" w:semiHidden="1" w:uiPriority="40"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1" w:unhideWhenUsed="1" w:qFormat="1"/>
    <w:lsdException w:name="footnote text" w:semiHidden="1" w:uiPriority="50" w:unhideWhenUsed="1"/>
    <w:lsdException w:name="annotation text" w:semiHidden="1" w:unhideWhenUsed="1"/>
    <w:lsdException w:name="header" w:semiHidden="1" w:uiPriority="52" w:unhideWhenUsed="1"/>
    <w:lsdException w:name="footer" w:semiHidden="1" w:uiPriority="52" w:unhideWhenUsed="1"/>
    <w:lsdException w:name="index heading" w:semiHidden="1" w:unhideWhenUsed="1"/>
    <w:lsdException w:name="caption" w:semiHidden="1" w:uiPriority="46" w:unhideWhenUsed="1" w:qFormat="1"/>
    <w:lsdException w:name="table of figures" w:semiHidden="1" w:uiPriority="58" w:unhideWhenUsed="1"/>
    <w:lsdException w:name="envelope address" w:semiHidden="1" w:uiPriority="89" w:unhideWhenUsed="1"/>
    <w:lsdException w:name="envelope return" w:semiHidden="1" w:uiPriority="89" w:unhideWhenUsed="1"/>
    <w:lsdException w:name="footnote reference" w:semiHidden="1" w:uiPriority="50" w:unhideWhenUsed="1"/>
    <w:lsdException w:name="annotation reference" w:semiHidden="1" w:unhideWhenUsed="1"/>
    <w:lsdException w:name="line number" w:semiHidden="1" w:uiPriority="54" w:unhideWhenUsed="1"/>
    <w:lsdException w:name="page number" w:semiHidden="1" w:unhideWhenUsed="1"/>
    <w:lsdException w:name="endnote reference" w:semiHidden="1" w:uiPriority="51" w:unhideWhenUsed="1"/>
    <w:lsdException w:name="endnote text" w:semiHidden="1" w:uiPriority="51" w:unhideWhenUsed="1"/>
    <w:lsdException w:name="table of authorities" w:semiHidden="1" w:uiPriority="58" w:unhideWhenUsed="1"/>
    <w:lsdException w:name="macro" w:semiHidden="1" w:unhideWhenUsed="1"/>
    <w:lsdException w:name="toa heading" w:semiHidden="1" w:uiPriority="57"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4"/>
    <w:lsdException w:name="Closing" w:semiHidden="1" w:unhideWhenUsed="1"/>
    <w:lsdException w:name="Signature" w:semiHidden="1" w:uiPriority="8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5"/>
    <w:lsdException w:name="Salutation" w:semiHidden="1" w:uiPriority="89"/>
    <w:lsdException w:name="Date" w:semiHidden="1" w:unhideWhenUsed="1"/>
    <w:lsdException w:name="Body Text First Indent" w:semiHidden="1" w:unhideWhenUsed="1"/>
    <w:lsdException w:name="Body Text First Indent 2" w:semiHidden="1" w:unhideWhenUsed="1"/>
    <w:lsdException w:name="Note Heading" w:semiHidden="1" w:uiPriority="4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56" w:unhideWhenUsed="1"/>
    <w:lsdException w:name="FollowedHyperlink" w:semiHidden="1" w:uiPriority="56" w:unhideWhenUsed="1"/>
    <w:lsdException w:name="Strong" w:uiPriority="98" w:qFormat="1"/>
    <w:lsdException w:name="Emphasis" w:uiPriority="9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55"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56"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0" w:qFormat="1"/>
    <w:lsdException w:name="Intense Quote" w:uiPriority="9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8"/>
    <w:lsdException w:name="Intense Emphasis" w:uiPriority="98" w:qFormat="1"/>
    <w:lsdException w:name="Subtle Reference" w:uiPriority="98" w:qFormat="1"/>
    <w:lsdException w:name="Intense Reference" w:uiPriority="98" w:qFormat="1"/>
    <w:lsdException w:name="Book Title" w:uiPriority="46" w:qFormat="1"/>
    <w:lsdException w:name="Bibliography" w:semiHidden="1" w:uiPriority="98"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20A"/>
    <w:pPr>
      <w:spacing w:after="0" w:line="360" w:lineRule="auto"/>
      <w:jc w:val="both"/>
    </w:pPr>
    <w:rPr>
      <w:rFonts w:ascii="Verdana" w:hAnsi="Verdana"/>
      <w:spacing w:val="6"/>
      <w:sz w:val="18"/>
      <w:lang w:val="en-GB"/>
    </w:rPr>
  </w:style>
  <w:style w:type="paragraph" w:styleId="Heading1">
    <w:name w:val="heading 1"/>
    <w:basedOn w:val="NormalIndent"/>
    <w:next w:val="NormalIndent"/>
    <w:link w:val="Heading1Char"/>
    <w:uiPriority w:val="3"/>
    <w:semiHidden/>
    <w:qFormat/>
    <w:rsid w:val="0076520A"/>
    <w:pPr>
      <w:keepNext/>
      <w:numPr>
        <w:numId w:val="11"/>
      </w:numPr>
      <w:spacing w:after="320"/>
      <w:outlineLvl w:val="0"/>
    </w:pPr>
    <w:rPr>
      <w:rFonts w:eastAsiaTheme="majorEastAsia" w:cstheme="majorBidi"/>
      <w:b/>
      <w:bCs/>
      <w:szCs w:val="28"/>
    </w:rPr>
  </w:style>
  <w:style w:type="paragraph" w:styleId="Heading2">
    <w:name w:val="heading 2"/>
    <w:basedOn w:val="Heading1"/>
    <w:next w:val="NormalIndent"/>
    <w:link w:val="Heading2Char"/>
    <w:uiPriority w:val="3"/>
    <w:semiHidden/>
    <w:qFormat/>
    <w:rsid w:val="00C510BF"/>
    <w:pPr>
      <w:numPr>
        <w:ilvl w:val="1"/>
      </w:numPr>
      <w:outlineLvl w:val="1"/>
    </w:pPr>
    <w:rPr>
      <w:b w:val="0"/>
      <w:bCs w:val="0"/>
      <w:szCs w:val="26"/>
    </w:rPr>
  </w:style>
  <w:style w:type="paragraph" w:styleId="Heading3">
    <w:name w:val="heading 3"/>
    <w:basedOn w:val="Heading2"/>
    <w:next w:val="NormalIndent"/>
    <w:link w:val="Heading3Char"/>
    <w:uiPriority w:val="3"/>
    <w:semiHidden/>
    <w:qFormat/>
    <w:rsid w:val="00383517"/>
    <w:pPr>
      <w:numPr>
        <w:ilvl w:val="2"/>
      </w:numPr>
      <w:outlineLvl w:val="2"/>
    </w:pPr>
    <w:rPr>
      <w:bCs/>
    </w:rPr>
  </w:style>
  <w:style w:type="paragraph" w:styleId="Heading4">
    <w:name w:val="heading 4"/>
    <w:basedOn w:val="Heading2"/>
    <w:next w:val="Normal"/>
    <w:link w:val="Heading4Char"/>
    <w:uiPriority w:val="3"/>
    <w:semiHidden/>
    <w:qFormat/>
    <w:rsid w:val="00FA2BCE"/>
    <w:pPr>
      <w:numPr>
        <w:ilvl w:val="3"/>
      </w:numPr>
      <w:outlineLvl w:val="3"/>
    </w:pPr>
    <w:rPr>
      <w:bCs/>
      <w:iCs/>
    </w:rPr>
  </w:style>
  <w:style w:type="paragraph" w:styleId="Heading5">
    <w:name w:val="heading 5"/>
    <w:basedOn w:val="Normal"/>
    <w:next w:val="Normal"/>
    <w:link w:val="Heading5Char"/>
    <w:uiPriority w:val="99"/>
    <w:semiHidden/>
    <w:qFormat/>
    <w:rsid w:val="00FA2BCE"/>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semiHidden/>
    <w:qFormat/>
    <w:rsid w:val="00FA2BCE"/>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semiHidden/>
    <w:qFormat/>
    <w:rsid w:val="00FA2BCE"/>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FA2BCE"/>
    <w:pPr>
      <w:keepNext/>
      <w:keepLines/>
      <w:numPr>
        <w:ilvl w:val="7"/>
        <w:numId w:val="1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FA2BCE"/>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link w:val="QuoteChar"/>
    <w:uiPriority w:val="10"/>
    <w:qFormat/>
    <w:rsid w:val="00D138E2"/>
    <w:pPr>
      <w:ind w:left="992" w:right="992"/>
    </w:pPr>
    <w:rPr>
      <w:iCs/>
      <w:sz w:val="17"/>
      <w:lang w:val="da-DK"/>
    </w:rPr>
  </w:style>
  <w:style w:type="character" w:customStyle="1" w:styleId="Heading1Char">
    <w:name w:val="Heading 1 Char"/>
    <w:basedOn w:val="DefaultParagraphFont"/>
    <w:link w:val="Heading1"/>
    <w:uiPriority w:val="3"/>
    <w:semiHidden/>
    <w:rsid w:val="0076520A"/>
    <w:rPr>
      <w:rFonts w:ascii="Verdana" w:eastAsiaTheme="majorEastAsia" w:hAnsi="Verdana" w:cstheme="majorBidi"/>
      <w:b/>
      <w:bCs/>
      <w:spacing w:val="6"/>
      <w:sz w:val="18"/>
      <w:szCs w:val="28"/>
    </w:rPr>
  </w:style>
  <w:style w:type="character" w:customStyle="1" w:styleId="Heading2Char">
    <w:name w:val="Heading 2 Char"/>
    <w:basedOn w:val="DefaultParagraphFont"/>
    <w:link w:val="Heading2"/>
    <w:uiPriority w:val="3"/>
    <w:semiHidden/>
    <w:rsid w:val="0076520A"/>
    <w:rPr>
      <w:rFonts w:ascii="Verdana" w:eastAsiaTheme="majorEastAsia" w:hAnsi="Verdana" w:cstheme="majorBidi"/>
      <w:spacing w:val="6"/>
      <w:sz w:val="18"/>
      <w:szCs w:val="26"/>
    </w:rPr>
  </w:style>
  <w:style w:type="paragraph" w:styleId="NormalIndent">
    <w:name w:val="Normal Indent"/>
    <w:basedOn w:val="Normal"/>
    <w:uiPriority w:val="1"/>
    <w:qFormat/>
    <w:rsid w:val="0076520A"/>
    <w:pPr>
      <w:ind w:left="992"/>
    </w:pPr>
  </w:style>
  <w:style w:type="paragraph" w:styleId="Title">
    <w:name w:val="Title"/>
    <w:basedOn w:val="Normal"/>
    <w:next w:val="Normal"/>
    <w:link w:val="TitleChar"/>
    <w:uiPriority w:val="44"/>
    <w:semiHidden/>
    <w:rsid w:val="00795FD2"/>
    <w:pPr>
      <w:spacing w:after="320"/>
    </w:pPr>
    <w:rPr>
      <w:rFonts w:eastAsiaTheme="majorEastAsia" w:cstheme="majorBidi"/>
      <w:b/>
      <w:kern w:val="28"/>
      <w:szCs w:val="52"/>
    </w:rPr>
  </w:style>
  <w:style w:type="character" w:customStyle="1" w:styleId="TitleChar">
    <w:name w:val="Title Char"/>
    <w:basedOn w:val="DefaultParagraphFont"/>
    <w:link w:val="Title"/>
    <w:uiPriority w:val="44"/>
    <w:semiHidden/>
    <w:rsid w:val="00E1150C"/>
    <w:rPr>
      <w:rFonts w:ascii="Verdana" w:eastAsiaTheme="majorEastAsia" w:hAnsi="Verdana" w:cstheme="majorBidi"/>
      <w:b/>
      <w:spacing w:val="6"/>
      <w:kern w:val="28"/>
      <w:sz w:val="18"/>
      <w:szCs w:val="52"/>
    </w:rPr>
  </w:style>
  <w:style w:type="paragraph" w:styleId="Subtitle">
    <w:name w:val="Subtitle"/>
    <w:basedOn w:val="Normal"/>
    <w:next w:val="Normal"/>
    <w:link w:val="SubtitleChar"/>
    <w:uiPriority w:val="45"/>
    <w:semiHidden/>
    <w:rsid w:val="00795FD2"/>
    <w:pPr>
      <w:numPr>
        <w:ilvl w:val="1"/>
      </w:numPr>
      <w:spacing w:after="320"/>
    </w:pPr>
    <w:rPr>
      <w:rFonts w:eastAsiaTheme="majorEastAsia" w:cstheme="majorBidi"/>
      <w:i/>
      <w:iCs/>
      <w:kern w:val="28"/>
      <w:szCs w:val="24"/>
    </w:rPr>
  </w:style>
  <w:style w:type="character" w:customStyle="1" w:styleId="SubtitleChar">
    <w:name w:val="Subtitle Char"/>
    <w:basedOn w:val="DefaultParagraphFont"/>
    <w:link w:val="Subtitle"/>
    <w:uiPriority w:val="45"/>
    <w:semiHidden/>
    <w:rsid w:val="00E1150C"/>
    <w:rPr>
      <w:rFonts w:ascii="Verdana" w:eastAsiaTheme="majorEastAsia" w:hAnsi="Verdana" w:cstheme="majorBidi"/>
      <w:i/>
      <w:iCs/>
      <w:spacing w:val="6"/>
      <w:kern w:val="28"/>
      <w:sz w:val="18"/>
      <w:szCs w:val="24"/>
    </w:rPr>
  </w:style>
  <w:style w:type="character" w:customStyle="1" w:styleId="QuoteChar">
    <w:name w:val="Quote Char"/>
    <w:basedOn w:val="DefaultParagraphFont"/>
    <w:link w:val="Quote"/>
    <w:uiPriority w:val="10"/>
    <w:rsid w:val="00D138E2"/>
    <w:rPr>
      <w:rFonts w:ascii="Verdana" w:hAnsi="Verdana"/>
      <w:iCs/>
      <w:spacing w:val="6"/>
      <w:sz w:val="17"/>
    </w:rPr>
  </w:style>
  <w:style w:type="character" w:styleId="Strong">
    <w:name w:val="Strong"/>
    <w:basedOn w:val="DefaultParagraphFont"/>
    <w:uiPriority w:val="98"/>
    <w:semiHidden/>
    <w:qFormat/>
    <w:rsid w:val="00EF150B"/>
    <w:rPr>
      <w:b/>
      <w:bCs/>
    </w:rPr>
  </w:style>
  <w:style w:type="character" w:styleId="IntenseEmphasis">
    <w:name w:val="Intense Emphasis"/>
    <w:basedOn w:val="DefaultParagraphFont"/>
    <w:uiPriority w:val="98"/>
    <w:semiHidden/>
    <w:qFormat/>
    <w:rsid w:val="00EF150B"/>
    <w:rPr>
      <w:b/>
      <w:bCs/>
      <w:i/>
      <w:iCs/>
      <w:color w:val="4F81BD" w:themeColor="accent1"/>
    </w:rPr>
  </w:style>
  <w:style w:type="character" w:customStyle="1" w:styleId="Heading3Char">
    <w:name w:val="Heading 3 Char"/>
    <w:basedOn w:val="DefaultParagraphFont"/>
    <w:link w:val="Heading3"/>
    <w:uiPriority w:val="3"/>
    <w:semiHidden/>
    <w:rsid w:val="0076520A"/>
    <w:rPr>
      <w:rFonts w:ascii="Verdana" w:eastAsiaTheme="majorEastAsia" w:hAnsi="Verdana" w:cstheme="majorBidi"/>
      <w:bCs/>
      <w:spacing w:val="6"/>
      <w:sz w:val="18"/>
      <w:szCs w:val="26"/>
    </w:rPr>
  </w:style>
  <w:style w:type="character" w:customStyle="1" w:styleId="Heading4Char">
    <w:name w:val="Heading 4 Char"/>
    <w:basedOn w:val="DefaultParagraphFont"/>
    <w:link w:val="Heading4"/>
    <w:uiPriority w:val="3"/>
    <w:semiHidden/>
    <w:rsid w:val="0076520A"/>
    <w:rPr>
      <w:rFonts w:ascii="Verdana" w:eastAsiaTheme="majorEastAsia" w:hAnsi="Verdana" w:cstheme="majorBidi"/>
      <w:bCs/>
      <w:iCs/>
      <w:spacing w:val="6"/>
      <w:sz w:val="18"/>
      <w:szCs w:val="26"/>
    </w:rPr>
  </w:style>
  <w:style w:type="character" w:styleId="IntenseReference">
    <w:name w:val="Intense Reference"/>
    <w:basedOn w:val="DefaultParagraphFont"/>
    <w:uiPriority w:val="98"/>
    <w:semiHidden/>
    <w:qFormat/>
    <w:rsid w:val="00EF150B"/>
    <w:rPr>
      <w:b/>
      <w:bCs/>
      <w:smallCaps/>
      <w:color w:val="C0504D" w:themeColor="accent2"/>
      <w:spacing w:val="5"/>
      <w:u w:val="single"/>
    </w:rPr>
  </w:style>
  <w:style w:type="character" w:styleId="BookTitle">
    <w:name w:val="Book Title"/>
    <w:basedOn w:val="DefaultParagraphFont"/>
    <w:uiPriority w:val="46"/>
    <w:semiHidden/>
    <w:qFormat/>
    <w:rsid w:val="00EF150B"/>
    <w:rPr>
      <w:b/>
      <w:bCs/>
      <w:smallCaps/>
      <w:spacing w:val="5"/>
    </w:rPr>
  </w:style>
  <w:style w:type="paragraph" w:styleId="ListParagraph">
    <w:name w:val="List Paragraph"/>
    <w:basedOn w:val="Normal"/>
    <w:uiPriority w:val="34"/>
    <w:qFormat/>
    <w:rsid w:val="00EF150B"/>
    <w:pPr>
      <w:ind w:left="720"/>
      <w:contextualSpacing/>
    </w:pPr>
  </w:style>
  <w:style w:type="character" w:customStyle="1" w:styleId="Heading5Char">
    <w:name w:val="Heading 5 Char"/>
    <w:basedOn w:val="DefaultParagraphFont"/>
    <w:link w:val="Heading5"/>
    <w:uiPriority w:val="99"/>
    <w:semiHidden/>
    <w:rsid w:val="002D3269"/>
    <w:rPr>
      <w:rFonts w:asciiTheme="majorHAnsi" w:eastAsiaTheme="majorEastAsia" w:hAnsiTheme="majorHAnsi" w:cstheme="majorBidi"/>
      <w:color w:val="243F60" w:themeColor="accent1" w:themeShade="7F"/>
      <w:spacing w:val="6"/>
      <w:sz w:val="18"/>
    </w:rPr>
  </w:style>
  <w:style w:type="paragraph" w:styleId="IntenseQuote">
    <w:name w:val="Intense Quote"/>
    <w:basedOn w:val="Normal"/>
    <w:next w:val="Normal"/>
    <w:link w:val="IntenseQuoteChar"/>
    <w:uiPriority w:val="98"/>
    <w:semiHidden/>
    <w:qFormat/>
    <w:rsid w:val="0054325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8"/>
    <w:semiHidden/>
    <w:rsid w:val="00795FD2"/>
    <w:rPr>
      <w:rFonts w:ascii="Verdana" w:hAnsi="Verdana"/>
      <w:b/>
      <w:bCs/>
      <w:i/>
      <w:iCs/>
      <w:color w:val="4F81BD" w:themeColor="accent1"/>
      <w:spacing w:val="6"/>
      <w:sz w:val="18"/>
    </w:rPr>
  </w:style>
  <w:style w:type="paragraph" w:styleId="NoSpacing">
    <w:name w:val="No Spacing"/>
    <w:link w:val="NoSpacingChar"/>
    <w:uiPriority w:val="1"/>
    <w:semiHidden/>
    <w:rsid w:val="00543258"/>
    <w:pPr>
      <w:spacing w:after="0" w:line="240" w:lineRule="auto"/>
      <w:jc w:val="both"/>
    </w:pPr>
    <w:rPr>
      <w:rFonts w:ascii="Verdana" w:hAnsi="Verdana"/>
      <w:spacing w:val="6"/>
      <w:sz w:val="18"/>
    </w:rPr>
  </w:style>
  <w:style w:type="character" w:customStyle="1" w:styleId="Heading6Char">
    <w:name w:val="Heading 6 Char"/>
    <w:basedOn w:val="DefaultParagraphFont"/>
    <w:link w:val="Heading6"/>
    <w:uiPriority w:val="99"/>
    <w:semiHidden/>
    <w:rsid w:val="002D3269"/>
    <w:rPr>
      <w:rFonts w:asciiTheme="majorHAnsi" w:eastAsiaTheme="majorEastAsia" w:hAnsiTheme="majorHAnsi" w:cstheme="majorBidi"/>
      <w:i/>
      <w:iCs/>
      <w:color w:val="243F60" w:themeColor="accent1" w:themeShade="7F"/>
      <w:spacing w:val="6"/>
      <w:sz w:val="18"/>
    </w:rPr>
  </w:style>
  <w:style w:type="character" w:customStyle="1" w:styleId="Heading7Char">
    <w:name w:val="Heading 7 Char"/>
    <w:basedOn w:val="DefaultParagraphFont"/>
    <w:link w:val="Heading7"/>
    <w:uiPriority w:val="99"/>
    <w:semiHidden/>
    <w:rsid w:val="002D3269"/>
    <w:rPr>
      <w:rFonts w:asciiTheme="majorHAnsi" w:eastAsiaTheme="majorEastAsia" w:hAnsiTheme="majorHAnsi" w:cstheme="majorBidi"/>
      <w:i/>
      <w:iCs/>
      <w:color w:val="404040" w:themeColor="text1" w:themeTint="BF"/>
      <w:spacing w:val="6"/>
      <w:sz w:val="18"/>
    </w:rPr>
  </w:style>
  <w:style w:type="character" w:customStyle="1" w:styleId="Heading8Char">
    <w:name w:val="Heading 8 Char"/>
    <w:basedOn w:val="DefaultParagraphFont"/>
    <w:link w:val="Heading8"/>
    <w:uiPriority w:val="99"/>
    <w:semiHidden/>
    <w:rsid w:val="002D3269"/>
    <w:rPr>
      <w:rFonts w:asciiTheme="majorHAnsi" w:eastAsiaTheme="majorEastAsia" w:hAnsiTheme="majorHAnsi" w:cstheme="majorBidi"/>
      <w:color w:val="404040" w:themeColor="text1" w:themeTint="BF"/>
      <w:spacing w:val="6"/>
      <w:sz w:val="20"/>
      <w:szCs w:val="20"/>
    </w:rPr>
  </w:style>
  <w:style w:type="character" w:customStyle="1" w:styleId="Heading9Char">
    <w:name w:val="Heading 9 Char"/>
    <w:basedOn w:val="DefaultParagraphFont"/>
    <w:link w:val="Heading9"/>
    <w:uiPriority w:val="99"/>
    <w:semiHidden/>
    <w:rsid w:val="002D3269"/>
    <w:rPr>
      <w:rFonts w:asciiTheme="majorHAnsi" w:eastAsiaTheme="majorEastAsia" w:hAnsiTheme="majorHAnsi" w:cstheme="majorBidi"/>
      <w:i/>
      <w:iCs/>
      <w:color w:val="404040" w:themeColor="text1" w:themeTint="BF"/>
      <w:spacing w:val="6"/>
      <w:sz w:val="20"/>
      <w:szCs w:val="20"/>
    </w:rPr>
  </w:style>
  <w:style w:type="paragraph" w:styleId="TOCHeading">
    <w:name w:val="TOC Heading"/>
    <w:basedOn w:val="Normal"/>
    <w:next w:val="Normal"/>
    <w:uiPriority w:val="39"/>
    <w:semiHidden/>
    <w:rsid w:val="00091994"/>
    <w:pPr>
      <w:keepNext/>
      <w:spacing w:after="320"/>
      <w:jc w:val="left"/>
    </w:pPr>
    <w:rPr>
      <w:spacing w:val="0"/>
      <w:lang w:eastAsia="ja-JP"/>
    </w:rPr>
  </w:style>
  <w:style w:type="paragraph" w:styleId="TOC1">
    <w:name w:val="toc 1"/>
    <w:basedOn w:val="Normal"/>
    <w:next w:val="Normal"/>
    <w:autoRedefine/>
    <w:uiPriority w:val="40"/>
    <w:semiHidden/>
    <w:rsid w:val="00A223C8"/>
    <w:pPr>
      <w:tabs>
        <w:tab w:val="left" w:pos="992"/>
        <w:tab w:val="right" w:leader="dot" w:pos="8505"/>
      </w:tabs>
      <w:ind w:left="992" w:right="851" w:hanging="992"/>
      <w:jc w:val="left"/>
    </w:pPr>
    <w:rPr>
      <w:caps/>
      <w:sz w:val="16"/>
    </w:rPr>
  </w:style>
  <w:style w:type="paragraph" w:styleId="TOC2">
    <w:name w:val="toc 2"/>
    <w:basedOn w:val="Normal"/>
    <w:next w:val="Normal"/>
    <w:autoRedefine/>
    <w:uiPriority w:val="40"/>
    <w:semiHidden/>
    <w:rsid w:val="00A223C8"/>
    <w:pPr>
      <w:tabs>
        <w:tab w:val="left" w:pos="1985"/>
        <w:tab w:val="right" w:leader="dot" w:pos="8505"/>
        <w:tab w:val="right" w:leader="dot" w:pos="9060"/>
      </w:tabs>
      <w:ind w:left="1984" w:right="851" w:hanging="992"/>
      <w:jc w:val="left"/>
    </w:pPr>
    <w:rPr>
      <w:caps/>
      <w:sz w:val="16"/>
    </w:rPr>
  </w:style>
  <w:style w:type="character" w:styleId="Hyperlink">
    <w:name w:val="Hyperlink"/>
    <w:basedOn w:val="DefaultParagraphFont"/>
    <w:uiPriority w:val="56"/>
    <w:semiHidden/>
    <w:rsid w:val="00FA327A"/>
    <w:rPr>
      <w:color w:val="auto"/>
      <w:u w:val="none"/>
    </w:rPr>
  </w:style>
  <w:style w:type="paragraph" w:styleId="BalloonText">
    <w:name w:val="Balloon Text"/>
    <w:basedOn w:val="Normal"/>
    <w:link w:val="BalloonTextChar"/>
    <w:uiPriority w:val="56"/>
    <w:semiHidden/>
    <w:rsid w:val="00A94EF1"/>
    <w:rPr>
      <w:rFonts w:cs="Tahoma"/>
      <w:sz w:val="16"/>
      <w:szCs w:val="16"/>
    </w:rPr>
  </w:style>
  <w:style w:type="character" w:customStyle="1" w:styleId="BalloonTextChar">
    <w:name w:val="Balloon Text Char"/>
    <w:basedOn w:val="DefaultParagraphFont"/>
    <w:link w:val="BalloonText"/>
    <w:uiPriority w:val="56"/>
    <w:semiHidden/>
    <w:rsid w:val="00D5551C"/>
    <w:rPr>
      <w:rFonts w:ascii="Verdana" w:hAnsi="Verdana" w:cs="Tahoma"/>
      <w:spacing w:val="6"/>
      <w:sz w:val="16"/>
      <w:szCs w:val="16"/>
    </w:rPr>
  </w:style>
  <w:style w:type="paragraph" w:styleId="TOC3">
    <w:name w:val="toc 3"/>
    <w:basedOn w:val="TOC2"/>
    <w:next w:val="Normal"/>
    <w:autoRedefine/>
    <w:uiPriority w:val="40"/>
    <w:semiHidden/>
    <w:rsid w:val="00A223C8"/>
    <w:pPr>
      <w:tabs>
        <w:tab w:val="clear" w:pos="1985"/>
        <w:tab w:val="clear" w:pos="9060"/>
        <w:tab w:val="left" w:pos="1984"/>
      </w:tabs>
    </w:pPr>
  </w:style>
  <w:style w:type="paragraph" w:styleId="TOC4">
    <w:name w:val="toc 4"/>
    <w:basedOn w:val="TOC2"/>
    <w:next w:val="Normal"/>
    <w:autoRedefine/>
    <w:uiPriority w:val="40"/>
    <w:semiHidden/>
    <w:rsid w:val="00FA327A"/>
    <w:pPr>
      <w:tabs>
        <w:tab w:val="clear" w:pos="1985"/>
        <w:tab w:val="left" w:pos="1984"/>
      </w:tabs>
    </w:pPr>
  </w:style>
  <w:style w:type="paragraph" w:customStyle="1" w:styleId="Afsnitsniveau2">
    <w:name w:val="Afsnitsniveau 2"/>
    <w:basedOn w:val="Overskriftsniveau2"/>
    <w:next w:val="NormalIndent"/>
    <w:link w:val="Afsnitsniveau2Char"/>
    <w:uiPriority w:val="4"/>
    <w:qFormat/>
    <w:rsid w:val="001B6D63"/>
    <w:pPr>
      <w:keepNext w:val="0"/>
      <w:spacing w:after="0"/>
    </w:pPr>
  </w:style>
  <w:style w:type="paragraph" w:customStyle="1" w:styleId="Afsnitsniveau3">
    <w:name w:val="Afsnitsniveau 3"/>
    <w:basedOn w:val="Overskriftsniveau3"/>
    <w:next w:val="NormalIndent"/>
    <w:link w:val="Afsnitsniveau3Char"/>
    <w:uiPriority w:val="4"/>
    <w:qFormat/>
    <w:rsid w:val="001B6D63"/>
    <w:pPr>
      <w:keepNext w:val="0"/>
      <w:spacing w:after="0"/>
    </w:pPr>
  </w:style>
  <w:style w:type="paragraph" w:customStyle="1" w:styleId="Afsnitsniveau4">
    <w:name w:val="Afsnitsniveau 4"/>
    <w:basedOn w:val="Overskriftsniveau4"/>
    <w:next w:val="NormalIndent"/>
    <w:link w:val="Afsnitsniveau4Char"/>
    <w:uiPriority w:val="4"/>
    <w:qFormat/>
    <w:rsid w:val="001B6D63"/>
    <w:pPr>
      <w:keepNext w:val="0"/>
      <w:spacing w:after="0"/>
    </w:pPr>
  </w:style>
  <w:style w:type="paragraph" w:customStyle="1" w:styleId="Opstillingmedi">
    <w:name w:val="Opstilling med (i)"/>
    <w:aliases w:val="(ii),(iii)"/>
    <w:basedOn w:val="Normal"/>
    <w:uiPriority w:val="5"/>
    <w:qFormat/>
    <w:rsid w:val="00F46182"/>
    <w:pPr>
      <w:numPr>
        <w:numId w:val="25"/>
      </w:numPr>
      <w:tabs>
        <w:tab w:val="clear" w:pos="992"/>
        <w:tab w:val="num" w:pos="1985"/>
      </w:tabs>
      <w:spacing w:after="320"/>
      <w:ind w:left="1984"/>
    </w:pPr>
    <w:rPr>
      <w:rFonts w:eastAsia="Times New Roman" w:cs="Times New Roman"/>
      <w:szCs w:val="18"/>
      <w:lang w:eastAsia="da-DK"/>
    </w:rPr>
  </w:style>
  <w:style w:type="paragraph" w:styleId="List">
    <w:name w:val="List"/>
    <w:basedOn w:val="Normal"/>
    <w:uiPriority w:val="99"/>
    <w:semiHidden/>
    <w:rsid w:val="0013588D"/>
    <w:pPr>
      <w:ind w:left="283" w:hanging="283"/>
      <w:contextualSpacing/>
    </w:pPr>
  </w:style>
  <w:style w:type="paragraph" w:styleId="List2">
    <w:name w:val="List 2"/>
    <w:basedOn w:val="Normal"/>
    <w:uiPriority w:val="99"/>
    <w:semiHidden/>
    <w:rsid w:val="0013588D"/>
    <w:pPr>
      <w:ind w:left="566" w:hanging="283"/>
      <w:contextualSpacing/>
    </w:pPr>
  </w:style>
  <w:style w:type="paragraph" w:styleId="List3">
    <w:name w:val="List 3"/>
    <w:basedOn w:val="Normal"/>
    <w:uiPriority w:val="99"/>
    <w:semiHidden/>
    <w:rsid w:val="0013588D"/>
    <w:pPr>
      <w:ind w:left="849" w:hanging="283"/>
      <w:contextualSpacing/>
    </w:pPr>
  </w:style>
  <w:style w:type="paragraph" w:styleId="List4">
    <w:name w:val="List 4"/>
    <w:basedOn w:val="Normal"/>
    <w:uiPriority w:val="99"/>
    <w:semiHidden/>
    <w:rsid w:val="0013588D"/>
    <w:pPr>
      <w:ind w:left="1132" w:hanging="283"/>
      <w:contextualSpacing/>
    </w:pPr>
  </w:style>
  <w:style w:type="paragraph" w:styleId="List5">
    <w:name w:val="List 5"/>
    <w:basedOn w:val="Normal"/>
    <w:uiPriority w:val="99"/>
    <w:semiHidden/>
    <w:rsid w:val="0013588D"/>
    <w:pPr>
      <w:ind w:left="1415" w:hanging="283"/>
      <w:contextualSpacing/>
    </w:pPr>
  </w:style>
  <w:style w:type="paragraph" w:styleId="ListBullet">
    <w:name w:val="List Bullet"/>
    <w:basedOn w:val="Normal"/>
    <w:uiPriority w:val="99"/>
    <w:semiHidden/>
    <w:rsid w:val="0013588D"/>
    <w:pPr>
      <w:numPr>
        <w:numId w:val="1"/>
      </w:numPr>
      <w:contextualSpacing/>
    </w:pPr>
  </w:style>
  <w:style w:type="paragraph" w:styleId="ListBullet2">
    <w:name w:val="List Bullet 2"/>
    <w:basedOn w:val="Normal"/>
    <w:uiPriority w:val="99"/>
    <w:semiHidden/>
    <w:rsid w:val="0013588D"/>
    <w:pPr>
      <w:numPr>
        <w:numId w:val="2"/>
      </w:numPr>
      <w:contextualSpacing/>
    </w:pPr>
  </w:style>
  <w:style w:type="paragraph" w:styleId="ListBullet3">
    <w:name w:val="List Bullet 3"/>
    <w:basedOn w:val="Normal"/>
    <w:uiPriority w:val="99"/>
    <w:semiHidden/>
    <w:rsid w:val="0013588D"/>
    <w:pPr>
      <w:numPr>
        <w:numId w:val="3"/>
      </w:numPr>
      <w:contextualSpacing/>
    </w:pPr>
  </w:style>
  <w:style w:type="paragraph" w:styleId="ListBullet4">
    <w:name w:val="List Bullet 4"/>
    <w:basedOn w:val="Normal"/>
    <w:uiPriority w:val="99"/>
    <w:semiHidden/>
    <w:rsid w:val="0013588D"/>
    <w:pPr>
      <w:numPr>
        <w:numId w:val="4"/>
      </w:numPr>
      <w:contextualSpacing/>
    </w:pPr>
  </w:style>
  <w:style w:type="paragraph" w:styleId="ListBullet5">
    <w:name w:val="List Bullet 5"/>
    <w:basedOn w:val="Normal"/>
    <w:uiPriority w:val="99"/>
    <w:semiHidden/>
    <w:rsid w:val="0013588D"/>
    <w:pPr>
      <w:numPr>
        <w:numId w:val="5"/>
      </w:numPr>
      <w:contextualSpacing/>
    </w:pPr>
  </w:style>
  <w:style w:type="paragraph" w:styleId="ListContinue">
    <w:name w:val="List Continue"/>
    <w:basedOn w:val="Normal"/>
    <w:uiPriority w:val="99"/>
    <w:semiHidden/>
    <w:rsid w:val="0013588D"/>
    <w:pPr>
      <w:spacing w:after="120"/>
      <w:ind w:left="283"/>
      <w:contextualSpacing/>
    </w:pPr>
  </w:style>
  <w:style w:type="paragraph" w:styleId="ListContinue2">
    <w:name w:val="List Continue 2"/>
    <w:basedOn w:val="Normal"/>
    <w:uiPriority w:val="99"/>
    <w:semiHidden/>
    <w:rsid w:val="0013588D"/>
    <w:pPr>
      <w:spacing w:after="120"/>
      <w:ind w:left="566"/>
      <w:contextualSpacing/>
    </w:pPr>
  </w:style>
  <w:style w:type="paragraph" w:styleId="ListContinue3">
    <w:name w:val="List Continue 3"/>
    <w:basedOn w:val="Normal"/>
    <w:uiPriority w:val="99"/>
    <w:semiHidden/>
    <w:rsid w:val="0013588D"/>
    <w:pPr>
      <w:spacing w:after="120"/>
      <w:ind w:left="849"/>
      <w:contextualSpacing/>
    </w:pPr>
  </w:style>
  <w:style w:type="paragraph" w:styleId="ListContinue4">
    <w:name w:val="List Continue 4"/>
    <w:basedOn w:val="Normal"/>
    <w:uiPriority w:val="99"/>
    <w:semiHidden/>
    <w:rsid w:val="0013588D"/>
    <w:pPr>
      <w:spacing w:after="120"/>
      <w:ind w:left="1132"/>
      <w:contextualSpacing/>
    </w:pPr>
  </w:style>
  <w:style w:type="paragraph" w:styleId="ListContinue5">
    <w:name w:val="List Continue 5"/>
    <w:basedOn w:val="Normal"/>
    <w:uiPriority w:val="99"/>
    <w:semiHidden/>
    <w:rsid w:val="0013588D"/>
    <w:pPr>
      <w:spacing w:after="120"/>
      <w:ind w:left="1415"/>
      <w:contextualSpacing/>
    </w:pPr>
  </w:style>
  <w:style w:type="paragraph" w:styleId="ListNumber">
    <w:name w:val="List Number"/>
    <w:basedOn w:val="Normal"/>
    <w:uiPriority w:val="99"/>
    <w:semiHidden/>
    <w:rsid w:val="0013588D"/>
    <w:pPr>
      <w:numPr>
        <w:numId w:val="6"/>
      </w:numPr>
      <w:contextualSpacing/>
    </w:pPr>
  </w:style>
  <w:style w:type="paragraph" w:styleId="ListNumber2">
    <w:name w:val="List Number 2"/>
    <w:basedOn w:val="Normal"/>
    <w:uiPriority w:val="99"/>
    <w:semiHidden/>
    <w:rsid w:val="0013588D"/>
    <w:pPr>
      <w:numPr>
        <w:numId w:val="7"/>
      </w:numPr>
      <w:contextualSpacing/>
    </w:pPr>
  </w:style>
  <w:style w:type="paragraph" w:styleId="ListNumber5">
    <w:name w:val="List Number 5"/>
    <w:basedOn w:val="Normal"/>
    <w:uiPriority w:val="99"/>
    <w:semiHidden/>
    <w:rsid w:val="0013588D"/>
    <w:pPr>
      <w:numPr>
        <w:numId w:val="10"/>
      </w:numPr>
      <w:contextualSpacing/>
    </w:pPr>
  </w:style>
  <w:style w:type="paragraph" w:customStyle="1" w:styleId="Opstillingmedat">
    <w:name w:val="Opstilling med at"/>
    <w:basedOn w:val="Normal"/>
    <w:uiPriority w:val="7"/>
    <w:qFormat/>
    <w:rsid w:val="003705BF"/>
    <w:pPr>
      <w:numPr>
        <w:numId w:val="27"/>
      </w:numPr>
      <w:tabs>
        <w:tab w:val="clear" w:pos="992"/>
        <w:tab w:val="num" w:pos="1985"/>
      </w:tabs>
      <w:spacing w:after="320"/>
      <w:ind w:left="1984"/>
    </w:pPr>
    <w:rPr>
      <w:rFonts w:eastAsia="Times New Roman" w:cs="Times New Roman"/>
      <w:szCs w:val="18"/>
      <w:lang w:eastAsia="da-DK"/>
    </w:rPr>
  </w:style>
  <w:style w:type="character" w:customStyle="1" w:styleId="Afsnitsniveau2Char">
    <w:name w:val="Afsnitsniveau 2 Char"/>
    <w:basedOn w:val="Heading2Char"/>
    <w:link w:val="Afsnitsniveau2"/>
    <w:uiPriority w:val="4"/>
    <w:rsid w:val="00440769"/>
    <w:rPr>
      <w:rFonts w:ascii="Verdana" w:eastAsiaTheme="majorEastAsia" w:hAnsi="Verdana" w:cstheme="majorBidi"/>
      <w:spacing w:val="6"/>
      <w:sz w:val="18"/>
      <w:szCs w:val="26"/>
      <w:lang w:val="en-US"/>
    </w:rPr>
  </w:style>
  <w:style w:type="character" w:customStyle="1" w:styleId="Afsnitsniveau3Char">
    <w:name w:val="Afsnitsniveau 3 Char"/>
    <w:basedOn w:val="Heading3Char"/>
    <w:link w:val="Afsnitsniveau3"/>
    <w:uiPriority w:val="4"/>
    <w:rsid w:val="00440769"/>
    <w:rPr>
      <w:rFonts w:ascii="Verdana" w:eastAsiaTheme="majorEastAsia" w:hAnsi="Verdana" w:cstheme="majorBidi"/>
      <w:bCs/>
      <w:spacing w:val="6"/>
      <w:sz w:val="18"/>
      <w:szCs w:val="26"/>
      <w:lang w:val="en-US"/>
    </w:rPr>
  </w:style>
  <w:style w:type="character" w:customStyle="1" w:styleId="Afsnitsniveau4Char">
    <w:name w:val="Afsnitsniveau 4 Char"/>
    <w:basedOn w:val="Heading4Char"/>
    <w:link w:val="Afsnitsniveau4"/>
    <w:uiPriority w:val="4"/>
    <w:rsid w:val="00440769"/>
    <w:rPr>
      <w:rFonts w:ascii="Verdana" w:eastAsiaTheme="majorEastAsia" w:hAnsi="Verdana" w:cstheme="majorBidi"/>
      <w:bCs/>
      <w:iCs/>
      <w:spacing w:val="6"/>
      <w:sz w:val="18"/>
      <w:szCs w:val="26"/>
      <w:lang w:val="en-US"/>
    </w:rPr>
  </w:style>
  <w:style w:type="paragraph" w:customStyle="1" w:styleId="Opstillingmedprik">
    <w:name w:val="Opstilling med prik"/>
    <w:basedOn w:val="Normal"/>
    <w:uiPriority w:val="6"/>
    <w:qFormat/>
    <w:rsid w:val="003705BF"/>
    <w:pPr>
      <w:numPr>
        <w:numId w:val="28"/>
      </w:numPr>
      <w:spacing w:after="320"/>
    </w:pPr>
    <w:rPr>
      <w:rFonts w:eastAsia="Times New Roman" w:cs="Times New Roman"/>
      <w:szCs w:val="18"/>
      <w:lang w:eastAsia="da-DK"/>
    </w:rPr>
  </w:style>
  <w:style w:type="paragraph" w:customStyle="1" w:styleId="Opstillingmed1">
    <w:name w:val="Opstilling med (1)"/>
    <w:aliases w:val="(2),(3)"/>
    <w:basedOn w:val="ListParagraph"/>
    <w:uiPriority w:val="8"/>
    <w:qFormat/>
    <w:rsid w:val="00F07A89"/>
    <w:pPr>
      <w:numPr>
        <w:numId w:val="30"/>
      </w:numPr>
      <w:spacing w:after="320"/>
      <w:ind w:left="992" w:hanging="992"/>
      <w:contextualSpacing w:val="0"/>
    </w:pPr>
  </w:style>
  <w:style w:type="paragraph" w:customStyle="1" w:styleId="OpstillingmedA">
    <w:name w:val="Opstilling med (A)"/>
    <w:aliases w:val="(B),(C)"/>
    <w:basedOn w:val="ListParagraph"/>
    <w:uiPriority w:val="9"/>
    <w:qFormat/>
    <w:rsid w:val="00F07A89"/>
    <w:pPr>
      <w:numPr>
        <w:numId w:val="32"/>
      </w:numPr>
      <w:spacing w:after="320"/>
      <w:ind w:left="992" w:hanging="992"/>
      <w:contextualSpacing w:val="0"/>
    </w:pPr>
  </w:style>
  <w:style w:type="paragraph" w:styleId="FootnoteText">
    <w:name w:val="footnote text"/>
    <w:basedOn w:val="Normal"/>
    <w:link w:val="FootnoteTextChar"/>
    <w:uiPriority w:val="50"/>
    <w:semiHidden/>
    <w:rsid w:val="00460BA1"/>
    <w:pPr>
      <w:spacing w:line="240" w:lineRule="auto"/>
      <w:ind w:left="1491" w:hanging="499"/>
    </w:pPr>
    <w:rPr>
      <w:sz w:val="16"/>
      <w:szCs w:val="20"/>
    </w:rPr>
  </w:style>
  <w:style w:type="character" w:customStyle="1" w:styleId="FootnoteTextChar">
    <w:name w:val="Footnote Text Char"/>
    <w:basedOn w:val="DefaultParagraphFont"/>
    <w:link w:val="FootnoteText"/>
    <w:uiPriority w:val="50"/>
    <w:semiHidden/>
    <w:rsid w:val="00D5551C"/>
    <w:rPr>
      <w:rFonts w:ascii="Verdana" w:hAnsi="Verdana"/>
      <w:spacing w:val="6"/>
      <w:sz w:val="16"/>
      <w:szCs w:val="20"/>
    </w:rPr>
  </w:style>
  <w:style w:type="character" w:styleId="FootnoteReference">
    <w:name w:val="footnote reference"/>
    <w:basedOn w:val="DefaultParagraphFont"/>
    <w:uiPriority w:val="50"/>
    <w:semiHidden/>
    <w:rsid w:val="00460BA1"/>
    <w:rPr>
      <w:vertAlign w:val="superscript"/>
    </w:rPr>
  </w:style>
  <w:style w:type="paragraph" w:styleId="EndnoteText">
    <w:name w:val="endnote text"/>
    <w:basedOn w:val="Normal"/>
    <w:link w:val="EndnoteTextChar"/>
    <w:uiPriority w:val="51"/>
    <w:semiHidden/>
    <w:rsid w:val="00460BA1"/>
    <w:pPr>
      <w:spacing w:line="240" w:lineRule="auto"/>
      <w:ind w:left="1491" w:hanging="499"/>
    </w:pPr>
    <w:rPr>
      <w:sz w:val="16"/>
      <w:szCs w:val="20"/>
    </w:rPr>
  </w:style>
  <w:style w:type="character" w:customStyle="1" w:styleId="EndnoteTextChar">
    <w:name w:val="Endnote Text Char"/>
    <w:basedOn w:val="DefaultParagraphFont"/>
    <w:link w:val="EndnoteText"/>
    <w:uiPriority w:val="51"/>
    <w:semiHidden/>
    <w:rsid w:val="00D5551C"/>
    <w:rPr>
      <w:rFonts w:ascii="Verdana" w:hAnsi="Verdana"/>
      <w:spacing w:val="6"/>
      <w:sz w:val="16"/>
      <w:szCs w:val="20"/>
    </w:rPr>
  </w:style>
  <w:style w:type="character" w:styleId="EndnoteReference">
    <w:name w:val="endnote reference"/>
    <w:basedOn w:val="DefaultParagraphFont"/>
    <w:uiPriority w:val="51"/>
    <w:semiHidden/>
    <w:rsid w:val="00460BA1"/>
    <w:rPr>
      <w:vertAlign w:val="superscript"/>
    </w:rPr>
  </w:style>
  <w:style w:type="character" w:styleId="FollowedHyperlink">
    <w:name w:val="FollowedHyperlink"/>
    <w:basedOn w:val="DefaultParagraphFont"/>
    <w:uiPriority w:val="56"/>
    <w:semiHidden/>
    <w:rsid w:val="00DE0465"/>
    <w:rPr>
      <w:color w:val="auto"/>
      <w:u w:val="none"/>
    </w:rPr>
  </w:style>
  <w:style w:type="paragraph" w:styleId="Header">
    <w:name w:val="header"/>
    <w:basedOn w:val="Normal"/>
    <w:link w:val="HeaderChar"/>
    <w:uiPriority w:val="52"/>
    <w:semiHidden/>
    <w:rsid w:val="00F46182"/>
    <w:pPr>
      <w:tabs>
        <w:tab w:val="center" w:pos="4536"/>
        <w:tab w:val="right" w:pos="9072"/>
      </w:tabs>
      <w:spacing w:line="240" w:lineRule="auto"/>
    </w:pPr>
  </w:style>
  <w:style w:type="character" w:customStyle="1" w:styleId="HeaderChar">
    <w:name w:val="Header Char"/>
    <w:basedOn w:val="DefaultParagraphFont"/>
    <w:link w:val="Header"/>
    <w:uiPriority w:val="52"/>
    <w:semiHidden/>
    <w:rsid w:val="00F46182"/>
    <w:rPr>
      <w:rFonts w:ascii="Verdana" w:hAnsi="Verdana"/>
      <w:spacing w:val="6"/>
      <w:sz w:val="18"/>
    </w:rPr>
  </w:style>
  <w:style w:type="paragraph" w:styleId="Footer">
    <w:name w:val="footer"/>
    <w:basedOn w:val="Normal"/>
    <w:link w:val="FooterChar"/>
    <w:uiPriority w:val="52"/>
    <w:semiHidden/>
    <w:rsid w:val="00F46182"/>
    <w:pPr>
      <w:tabs>
        <w:tab w:val="center" w:pos="4536"/>
        <w:tab w:val="right" w:pos="9072"/>
      </w:tabs>
      <w:spacing w:line="240" w:lineRule="auto"/>
    </w:pPr>
  </w:style>
  <w:style w:type="character" w:customStyle="1" w:styleId="FooterChar">
    <w:name w:val="Footer Char"/>
    <w:basedOn w:val="DefaultParagraphFont"/>
    <w:link w:val="Footer"/>
    <w:uiPriority w:val="52"/>
    <w:semiHidden/>
    <w:rsid w:val="00F46182"/>
    <w:rPr>
      <w:rFonts w:ascii="Verdana" w:hAnsi="Verdana"/>
      <w:spacing w:val="6"/>
      <w:sz w:val="18"/>
    </w:rPr>
  </w:style>
  <w:style w:type="paragraph" w:styleId="Index1">
    <w:name w:val="index 1"/>
    <w:basedOn w:val="Normal"/>
    <w:next w:val="Normal"/>
    <w:autoRedefine/>
    <w:uiPriority w:val="99"/>
    <w:semiHidden/>
    <w:unhideWhenUsed/>
    <w:rsid w:val="00091994"/>
    <w:pPr>
      <w:spacing w:line="240" w:lineRule="auto"/>
      <w:ind w:left="180" w:hanging="180"/>
    </w:pPr>
  </w:style>
  <w:style w:type="character" w:styleId="PlaceholderText">
    <w:name w:val="Placeholder Text"/>
    <w:basedOn w:val="DefaultParagraphFont"/>
    <w:uiPriority w:val="99"/>
    <w:semiHidden/>
    <w:rsid w:val="00433120"/>
    <w:rPr>
      <w:color w:val="808080"/>
    </w:rPr>
  </w:style>
  <w:style w:type="paragraph" w:styleId="EnvelopeAddress">
    <w:name w:val="envelope address"/>
    <w:basedOn w:val="Normal"/>
    <w:uiPriority w:val="89"/>
    <w:semiHidden/>
    <w:rsid w:val="00A94EF1"/>
    <w:pPr>
      <w:framePr w:w="7920" w:h="1980" w:hRule="exact" w:hSpace="141" w:wrap="auto" w:hAnchor="page" w:xAlign="center" w:yAlign="bottom"/>
      <w:spacing w:line="240" w:lineRule="auto"/>
      <w:ind w:left="2880"/>
    </w:pPr>
    <w:rPr>
      <w:rFonts w:eastAsiaTheme="majorEastAsia" w:cstheme="majorBidi"/>
      <w:szCs w:val="24"/>
    </w:rPr>
  </w:style>
  <w:style w:type="paragraph" w:styleId="Signature">
    <w:name w:val="Signature"/>
    <w:basedOn w:val="Normal"/>
    <w:link w:val="SignatureChar"/>
    <w:uiPriority w:val="89"/>
    <w:semiHidden/>
    <w:rsid w:val="00A94EF1"/>
  </w:style>
  <w:style w:type="character" w:customStyle="1" w:styleId="SignatureChar">
    <w:name w:val="Signature Char"/>
    <w:basedOn w:val="DefaultParagraphFont"/>
    <w:link w:val="Signature"/>
    <w:uiPriority w:val="89"/>
    <w:semiHidden/>
    <w:rsid w:val="00795FD2"/>
    <w:rPr>
      <w:rFonts w:ascii="Verdana" w:hAnsi="Verdana"/>
      <w:spacing w:val="6"/>
      <w:sz w:val="18"/>
    </w:rPr>
  </w:style>
  <w:style w:type="paragraph" w:styleId="EnvelopeReturn">
    <w:name w:val="envelope return"/>
    <w:basedOn w:val="Normal"/>
    <w:uiPriority w:val="89"/>
    <w:semiHidden/>
    <w:rsid w:val="00A94EF1"/>
    <w:pPr>
      <w:spacing w:line="240" w:lineRule="auto"/>
    </w:pPr>
    <w:rPr>
      <w:rFonts w:eastAsiaTheme="majorEastAsia" w:cstheme="majorBidi"/>
      <w:sz w:val="16"/>
      <w:szCs w:val="20"/>
    </w:rPr>
  </w:style>
  <w:style w:type="paragraph" w:styleId="TOAHeading">
    <w:name w:val="toa heading"/>
    <w:basedOn w:val="Normal"/>
    <w:next w:val="Normal"/>
    <w:uiPriority w:val="57"/>
    <w:semiHidden/>
    <w:rsid w:val="00A94EF1"/>
    <w:pPr>
      <w:keepNext/>
      <w:spacing w:after="320"/>
    </w:pPr>
    <w:rPr>
      <w:rFonts w:eastAsiaTheme="majorEastAsia" w:cstheme="majorBidi"/>
      <w:bCs/>
      <w:szCs w:val="24"/>
    </w:rPr>
  </w:style>
  <w:style w:type="paragraph" w:styleId="CommentText">
    <w:name w:val="annotation text"/>
    <w:basedOn w:val="Normal"/>
    <w:link w:val="CommentTextChar"/>
    <w:uiPriority w:val="99"/>
    <w:semiHidden/>
    <w:rsid w:val="00795FD2"/>
    <w:rPr>
      <w:sz w:val="16"/>
      <w:szCs w:val="20"/>
    </w:rPr>
  </w:style>
  <w:style w:type="character" w:customStyle="1" w:styleId="CommentTextChar">
    <w:name w:val="Comment Text Char"/>
    <w:basedOn w:val="DefaultParagraphFont"/>
    <w:link w:val="CommentText"/>
    <w:uiPriority w:val="99"/>
    <w:semiHidden/>
    <w:rsid w:val="00D5551C"/>
    <w:rPr>
      <w:rFonts w:ascii="Verdana" w:hAnsi="Verdana"/>
      <w:spacing w:val="6"/>
      <w:sz w:val="16"/>
      <w:szCs w:val="20"/>
    </w:rPr>
  </w:style>
  <w:style w:type="paragraph" w:styleId="CommentSubject">
    <w:name w:val="annotation subject"/>
    <w:basedOn w:val="CommentText"/>
    <w:next w:val="CommentText"/>
    <w:link w:val="CommentSubjectChar"/>
    <w:uiPriority w:val="55"/>
    <w:semiHidden/>
    <w:rsid w:val="00A94EF1"/>
    <w:rPr>
      <w:bCs/>
    </w:rPr>
  </w:style>
  <w:style w:type="character" w:customStyle="1" w:styleId="CommentSubjectChar">
    <w:name w:val="Comment Subject Char"/>
    <w:basedOn w:val="CommentTextChar"/>
    <w:link w:val="CommentSubject"/>
    <w:uiPriority w:val="55"/>
    <w:semiHidden/>
    <w:rsid w:val="00D5551C"/>
    <w:rPr>
      <w:rFonts w:ascii="Verdana" w:hAnsi="Verdana"/>
      <w:bCs/>
      <w:spacing w:val="6"/>
      <w:sz w:val="16"/>
      <w:szCs w:val="20"/>
    </w:rPr>
  </w:style>
  <w:style w:type="paragraph" w:styleId="TableofAuthorities">
    <w:name w:val="table of authorities"/>
    <w:basedOn w:val="Normal"/>
    <w:next w:val="Normal"/>
    <w:uiPriority w:val="58"/>
    <w:semiHidden/>
    <w:rsid w:val="00A94EF1"/>
    <w:pPr>
      <w:ind w:left="180" w:hanging="180"/>
    </w:pPr>
    <w:rPr>
      <w:sz w:val="16"/>
    </w:rPr>
  </w:style>
  <w:style w:type="paragraph" w:styleId="TableofFigures">
    <w:name w:val="table of figures"/>
    <w:basedOn w:val="Normal"/>
    <w:next w:val="Normal"/>
    <w:uiPriority w:val="58"/>
    <w:semiHidden/>
    <w:rsid w:val="00A94EF1"/>
    <w:rPr>
      <w:sz w:val="16"/>
    </w:rPr>
  </w:style>
  <w:style w:type="paragraph" w:customStyle="1" w:styleId="zzDokTitel">
    <w:name w:val="zz DokTitel"/>
    <w:basedOn w:val="Normal"/>
    <w:uiPriority w:val="94"/>
    <w:semiHidden/>
    <w:rsid w:val="006700A5"/>
    <w:pPr>
      <w:framePr w:w="9072" w:wrap="around" w:vAnchor="page" w:hAnchor="margin" w:y="6918"/>
      <w:shd w:val="clear" w:color="FFFFFF" w:fill="auto"/>
    </w:pPr>
    <w:rPr>
      <w:rFonts w:eastAsia="Times New Roman" w:cs="Times New Roman"/>
      <w:caps/>
      <w:szCs w:val="18"/>
      <w:lang w:eastAsia="da-DK"/>
    </w:rPr>
  </w:style>
  <w:style w:type="paragraph" w:customStyle="1" w:styleId="zzUdkast">
    <w:name w:val="zz Udkast"/>
    <w:basedOn w:val="Normal"/>
    <w:uiPriority w:val="94"/>
    <w:semiHidden/>
    <w:rsid w:val="006700A5"/>
    <w:pPr>
      <w:framePr w:w="3402" w:wrap="around" w:vAnchor="page" w:hAnchor="margin" w:y="852"/>
      <w:shd w:val="clear" w:color="FFFFFF" w:fill="auto"/>
    </w:pPr>
    <w:rPr>
      <w:rFonts w:eastAsia="Times New Roman" w:cs="Times New Roman"/>
      <w:szCs w:val="18"/>
      <w:lang w:eastAsia="da-DK"/>
    </w:rPr>
  </w:style>
  <w:style w:type="character" w:customStyle="1" w:styleId="NoSpacingChar">
    <w:name w:val="No Spacing Char"/>
    <w:basedOn w:val="DefaultParagraphFont"/>
    <w:link w:val="NoSpacing"/>
    <w:uiPriority w:val="1"/>
    <w:semiHidden/>
    <w:rsid w:val="0095468C"/>
    <w:rPr>
      <w:rFonts w:ascii="Verdana" w:hAnsi="Verdana"/>
      <w:spacing w:val="6"/>
      <w:sz w:val="18"/>
    </w:rPr>
  </w:style>
  <w:style w:type="paragraph" w:customStyle="1" w:styleId="zzConfidential">
    <w:name w:val="zz Confidential"/>
    <w:basedOn w:val="Normal"/>
    <w:uiPriority w:val="94"/>
    <w:semiHidden/>
    <w:rsid w:val="0074191F"/>
    <w:pPr>
      <w:framePr w:w="9072" w:wrap="notBeside" w:vAnchor="page" w:hAnchor="margin" w:y="4594"/>
      <w:shd w:val="clear" w:color="FFFFFF" w:fill="auto"/>
      <w:jc w:val="center"/>
    </w:pPr>
    <w:rPr>
      <w:rFonts w:eastAsia="Times New Roman" w:cs="Times New Roman"/>
      <w:caps/>
      <w:noProof/>
      <w:szCs w:val="18"/>
      <w:lang w:eastAsia="da-DK"/>
    </w:rPr>
  </w:style>
  <w:style w:type="paragraph" w:customStyle="1" w:styleId="Opstillingmed10">
    <w:name w:val="Opstilling med 1"/>
    <w:aliases w:val="2,3"/>
    <w:basedOn w:val="Normal"/>
    <w:uiPriority w:val="9"/>
    <w:qFormat/>
    <w:rsid w:val="003705BF"/>
    <w:pPr>
      <w:numPr>
        <w:numId w:val="36"/>
      </w:numPr>
      <w:spacing w:after="320"/>
      <w:ind w:left="992" w:hanging="992"/>
    </w:pPr>
  </w:style>
  <w:style w:type="paragraph" w:styleId="NoteHeading">
    <w:name w:val="Note Heading"/>
    <w:basedOn w:val="Normal"/>
    <w:next w:val="Normal"/>
    <w:link w:val="NoteHeadingChar"/>
    <w:uiPriority w:val="49"/>
    <w:semiHidden/>
    <w:rsid w:val="00795FD2"/>
  </w:style>
  <w:style w:type="character" w:customStyle="1" w:styleId="NoteHeadingChar">
    <w:name w:val="Note Heading Char"/>
    <w:basedOn w:val="DefaultParagraphFont"/>
    <w:link w:val="NoteHeading"/>
    <w:uiPriority w:val="49"/>
    <w:semiHidden/>
    <w:rsid w:val="00D5551C"/>
    <w:rPr>
      <w:rFonts w:ascii="Verdana" w:hAnsi="Verdana"/>
      <w:spacing w:val="6"/>
      <w:sz w:val="18"/>
    </w:rPr>
  </w:style>
  <w:style w:type="paragraph" w:customStyle="1" w:styleId="Overskriftsniveau1">
    <w:name w:val="Overskriftsniveau 1"/>
    <w:basedOn w:val="Heading1"/>
    <w:next w:val="NormalIndent"/>
    <w:link w:val="Overskriftsniveau1Char"/>
    <w:uiPriority w:val="3"/>
    <w:qFormat/>
    <w:rsid w:val="00B44DCE"/>
    <w:pPr>
      <w:numPr>
        <w:numId w:val="39"/>
      </w:numPr>
    </w:pPr>
  </w:style>
  <w:style w:type="character" w:customStyle="1" w:styleId="Overskriftsniveau1Char">
    <w:name w:val="Overskriftsniveau 1 Char"/>
    <w:basedOn w:val="Heading1Char"/>
    <w:link w:val="Overskriftsniveau1"/>
    <w:uiPriority w:val="3"/>
    <w:rsid w:val="00B44DCE"/>
    <w:rPr>
      <w:rFonts w:ascii="Verdana" w:eastAsiaTheme="majorEastAsia" w:hAnsi="Verdana" w:cstheme="majorBidi"/>
      <w:b/>
      <w:bCs/>
      <w:spacing w:val="6"/>
      <w:sz w:val="18"/>
      <w:szCs w:val="28"/>
      <w:lang w:val="en-GB"/>
    </w:rPr>
  </w:style>
  <w:style w:type="paragraph" w:customStyle="1" w:styleId="Overskriftsniveau2">
    <w:name w:val="Overskriftsniveau 2"/>
    <w:basedOn w:val="Heading2"/>
    <w:next w:val="NormalIndent"/>
    <w:link w:val="Overskriftsniveau2Char"/>
    <w:uiPriority w:val="3"/>
    <w:qFormat/>
    <w:rsid w:val="0076520A"/>
  </w:style>
  <w:style w:type="character" w:customStyle="1" w:styleId="Overskriftsniveau2Char">
    <w:name w:val="Overskriftsniveau 2 Char"/>
    <w:basedOn w:val="Heading2Char"/>
    <w:link w:val="Overskriftsniveau2"/>
    <w:uiPriority w:val="3"/>
    <w:rsid w:val="0076520A"/>
    <w:rPr>
      <w:rFonts w:ascii="Verdana" w:eastAsiaTheme="majorEastAsia" w:hAnsi="Verdana" w:cstheme="majorBidi"/>
      <w:spacing w:val="6"/>
      <w:sz w:val="18"/>
      <w:szCs w:val="26"/>
    </w:rPr>
  </w:style>
  <w:style w:type="paragraph" w:customStyle="1" w:styleId="Overskriftsniveau3">
    <w:name w:val="Overskriftsniveau 3"/>
    <w:basedOn w:val="Heading3"/>
    <w:next w:val="NormalIndent"/>
    <w:link w:val="Overskriftsniveau3Char"/>
    <w:uiPriority w:val="3"/>
    <w:qFormat/>
    <w:rsid w:val="0076520A"/>
  </w:style>
  <w:style w:type="character" w:customStyle="1" w:styleId="Overskriftsniveau3Char">
    <w:name w:val="Overskriftsniveau 3 Char"/>
    <w:basedOn w:val="Heading3Char"/>
    <w:link w:val="Overskriftsniveau3"/>
    <w:uiPriority w:val="3"/>
    <w:rsid w:val="0076520A"/>
    <w:rPr>
      <w:rFonts w:ascii="Verdana" w:eastAsiaTheme="majorEastAsia" w:hAnsi="Verdana" w:cstheme="majorBidi"/>
      <w:bCs/>
      <w:spacing w:val="6"/>
      <w:sz w:val="18"/>
      <w:szCs w:val="26"/>
    </w:rPr>
  </w:style>
  <w:style w:type="paragraph" w:customStyle="1" w:styleId="Overskriftsniveau4">
    <w:name w:val="Overskriftsniveau 4"/>
    <w:basedOn w:val="Heading4"/>
    <w:next w:val="NormalIndent"/>
    <w:link w:val="Overskriftsniveau4Char"/>
    <w:uiPriority w:val="3"/>
    <w:qFormat/>
    <w:rsid w:val="0076520A"/>
  </w:style>
  <w:style w:type="character" w:customStyle="1" w:styleId="Overskriftsniveau4Char">
    <w:name w:val="Overskriftsniveau 4 Char"/>
    <w:basedOn w:val="Heading4Char"/>
    <w:link w:val="Overskriftsniveau4"/>
    <w:uiPriority w:val="3"/>
    <w:rsid w:val="0076520A"/>
    <w:rPr>
      <w:rFonts w:ascii="Verdana" w:eastAsiaTheme="majorEastAsia" w:hAnsi="Verdana" w:cstheme="majorBidi"/>
      <w:bCs/>
      <w:iCs/>
      <w:spacing w:val="6"/>
      <w:sz w:val="18"/>
      <w:szCs w:val="26"/>
    </w:rPr>
  </w:style>
  <w:style w:type="character" w:customStyle="1" w:styleId="CitatTegn1">
    <w:name w:val="Citat Tegn1"/>
    <w:basedOn w:val="DefaultParagraphFont"/>
    <w:uiPriority w:val="10"/>
    <w:semiHidden/>
    <w:rsid w:val="00F46182"/>
    <w:rPr>
      <w:rFonts w:ascii="Verdana" w:eastAsiaTheme="minorHAnsi" w:hAnsi="Verdana"/>
      <w:iCs/>
      <w:spacing w:val="6"/>
      <w:sz w:val="17"/>
      <w:lang w:eastAsia="en-US"/>
    </w:rPr>
  </w:style>
  <w:style w:type="paragraph" w:customStyle="1" w:styleId="zzDokID">
    <w:name w:val="zz DokID"/>
    <w:basedOn w:val="Normal"/>
    <w:semiHidden/>
    <w:rsid w:val="00F123CA"/>
    <w:pPr>
      <w:framePr w:wrap="notBeside" w:vAnchor="page" w:hAnchor="margin" w:y="15594"/>
      <w:shd w:val="clear" w:color="FFFFFF" w:fill="auto"/>
    </w:pPr>
    <w:rPr>
      <w:rFonts w:eastAsia="Times New Roman" w:cs="Times New Roman"/>
      <w:sz w:val="12"/>
      <w:szCs w:val="12"/>
      <w:lang w:eastAsia="da-DK"/>
    </w:rPr>
  </w:style>
  <w:style w:type="character" w:styleId="CommentReference">
    <w:name w:val="annotation reference"/>
    <w:basedOn w:val="DefaultParagraphFont"/>
    <w:uiPriority w:val="99"/>
    <w:semiHidden/>
    <w:rsid w:val="00621B5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246886">
      <w:bodyDiv w:val="1"/>
      <w:marLeft w:val="0"/>
      <w:marRight w:val="0"/>
      <w:marTop w:val="0"/>
      <w:marBottom w:val="0"/>
      <w:divBdr>
        <w:top w:val="none" w:sz="0" w:space="0" w:color="auto"/>
        <w:left w:val="none" w:sz="0" w:space="0" w:color="auto"/>
        <w:bottom w:val="none" w:sz="0" w:space="0" w:color="auto"/>
        <w:right w:val="none" w:sz="0" w:space="0" w:color="auto"/>
      </w:divBdr>
    </w:div>
    <w:div w:id="1047606225">
      <w:bodyDiv w:val="1"/>
      <w:marLeft w:val="0"/>
      <w:marRight w:val="0"/>
      <w:marTop w:val="0"/>
      <w:marBottom w:val="0"/>
      <w:divBdr>
        <w:top w:val="none" w:sz="0" w:space="0" w:color="auto"/>
        <w:left w:val="none" w:sz="0" w:space="0" w:color="auto"/>
        <w:bottom w:val="none" w:sz="0" w:space="0" w:color="auto"/>
        <w:right w:val="none" w:sz="0" w:space="0" w:color="auto"/>
      </w:divBdr>
    </w:div>
    <w:div w:id="1685591046">
      <w:bodyDiv w:val="1"/>
      <w:marLeft w:val="0"/>
      <w:marRight w:val="0"/>
      <w:marTop w:val="0"/>
      <w:marBottom w:val="0"/>
      <w:divBdr>
        <w:top w:val="none" w:sz="0" w:space="0" w:color="auto"/>
        <w:left w:val="none" w:sz="0" w:space="0" w:color="auto"/>
        <w:bottom w:val="none" w:sz="0" w:space="0" w:color="auto"/>
        <w:right w:val="none" w:sz="0" w:space="0" w:color="auto"/>
      </w:divBdr>
    </w:div>
    <w:div w:id="191550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5669</Words>
  <Characters>29203</Characters>
  <Application>Microsoft Office Word</Application>
  <DocSecurity>0</DocSecurity>
  <Lines>4867</Lines>
  <Paragraphs>2179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AIPPI Q247 - rettet version_KKD input</vt:lpstr>
      <vt:lpstr/>
    </vt:vector>
  </TitlesOfParts>
  <LinksUpToDate>false</LinksUpToDate>
  <CharactersWithSpaces>32693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AIPPI Q247 - rettet version_KKD input</dc:title>
  <dc:creator/>
  <cp:lastModifiedBy/>
  <cp:revision>1</cp:revision>
  <dcterms:created xsi:type="dcterms:W3CDTF">2016-04-13T15:18:00Z</dcterms:created>
  <dcterms:modified xsi:type="dcterms:W3CDTF">2016-04-13T16:12:00Z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0x010100AC085CFC53BC46CEA2EADE194AD9D48200055CF0284BA1644AAAD978E19A6B9CDC</vt:lpwstr>
  </property>
  <property fmtid="{D5CDD505-2E9C-101B-9397-08002B2CF9AE}" pid="3" name="CCMSystem">
    <vt:lpwstr> </vt:lpwstr>
  </property>
  <property fmtid="{D5CDD505-2E9C-101B-9397-08002B2CF9AE}" pid="4" name="DocRef">
    <vt:lpwstr>7581584v1</vt:lpwstr>
  </property>
  <property fmtid="{D5CDD505-2E9C-101B-9397-08002B2CF9AE}" pid="5" name="DocMatter">
    <vt:lpwstr>70084379</vt:lpwstr>
  </property>
</Properties>
</file>